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46B15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246B15">
      <w:pPr>
        <w:pStyle w:val="newncpi0"/>
        <w:jc w:val="center"/>
        <w:rPr>
          <w:color w:val="000000"/>
        </w:rPr>
      </w:pPr>
      <w:bookmarkStart w:id="1" w:name="a3"/>
      <w:bookmarkEnd w:id="1"/>
      <w:r>
        <w:rPr>
          <w:rStyle w:val="HTML"/>
          <w:b/>
          <w:bCs/>
          <w:caps/>
          <w:shd w:val="clear" w:color="auto" w:fill="FFFFFF"/>
        </w:rPr>
        <w:t>РЕШЕНИЕ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СОВЕТА ЕВРАЗИЙСКОЙ ЭКОНОМИЧЕСКОЙ КОМИССИИ</w:t>
      </w:r>
    </w:p>
    <w:p w:rsidR="00000000" w:rsidRDefault="00246B15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12 ноября 2021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130</w:t>
      </w:r>
    </w:p>
    <w:p w:rsidR="00000000" w:rsidRDefault="00246B15">
      <w:pPr>
        <w:pStyle w:val="placeprin"/>
        <w:rPr>
          <w:color w:val="000000"/>
        </w:rPr>
      </w:pPr>
      <w:r>
        <w:rPr>
          <w:color w:val="000000"/>
        </w:rPr>
        <w:t>г. Нур-Султан</w:t>
      </w:r>
    </w:p>
    <w:p w:rsidR="00000000" w:rsidRDefault="00246B15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Порядке ввоза на таможенную территорию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Евразийского экономического</w:t>
      </w:r>
      <w:r>
        <w:rPr>
          <w:rFonts w:ascii="Arial" w:hAnsi="Arial" w:cs="Arial"/>
          <w:color w:val="000080"/>
        </w:rPr>
        <w:t xml:space="preserve"> союза продукции, подлежащей обязательной оценке соответствия на таможенной территории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Евразийского экономического</w:t>
      </w:r>
      <w:r>
        <w:rPr>
          <w:rFonts w:ascii="Arial" w:hAnsi="Arial" w:cs="Arial"/>
          <w:color w:val="000080"/>
        </w:rPr>
        <w:t xml:space="preserve"> союза</w:t>
      </w:r>
    </w:p>
    <w:p w:rsidR="00000000" w:rsidRDefault="00246B15">
      <w:pPr>
        <w:pStyle w:val="preamble"/>
        <w:rPr>
          <w:color w:val="000000"/>
        </w:rPr>
      </w:pP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8 Протокола о техническом регулировании в рамках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Евразийского экономического</w:t>
      </w:r>
      <w:r>
        <w:rPr>
          <w:color w:val="000000"/>
        </w:rPr>
        <w:t xml:space="preserve"> союза (приложение № 9 к Договору 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Евразийском экономическом</w:t>
      </w:r>
      <w:r>
        <w:rPr>
          <w:color w:val="000000"/>
        </w:rPr>
        <w:t xml:space="preserve"> союзе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от</w:t>
      </w:r>
      <w:r>
        <w:rPr>
          <w:color w:val="000000"/>
        </w:rPr>
        <w:t xml:space="preserve"> 29 мая 2014 года),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пунктом 2 статьи 7 Таможенного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Евразийского экономического</w:t>
      </w:r>
      <w:r>
        <w:rPr>
          <w:color w:val="000000"/>
        </w:rPr>
        <w:t xml:space="preserve"> союза и</w:t>
      </w:r>
      <w:r>
        <w:rPr>
          <w:color w:val="000000"/>
        </w:rPr>
        <w:t xml:space="preserve"> </w:t>
      </w:r>
      <w:r>
        <w:rPr>
          <w:color w:val="000000"/>
        </w:rPr>
        <w:t>пунктом 33 приложения № 1 к Регламенту работы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Евразийской экономической комиссии</w:t>
      </w:r>
      <w:r>
        <w:rPr>
          <w:color w:val="000000"/>
        </w:rPr>
        <w:t>, утвержденному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Решением</w:t>
      </w:r>
      <w:r>
        <w:rPr>
          <w:color w:val="000000"/>
        </w:rPr>
        <w:t xml:space="preserve"> Высшего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Евразийского экономического совета</w:t>
      </w:r>
      <w:r>
        <w:rPr>
          <w:color w:val="000000"/>
        </w:rPr>
        <w:t xml:space="preserve"> от 23 декабря 2014 г. № 98, Совет Евразийской экономической коми</w:t>
      </w:r>
      <w:r>
        <w:rPr>
          <w:color w:val="000000"/>
        </w:rPr>
        <w:t>ссии РЕШИЛ:</w:t>
      </w:r>
    </w:p>
    <w:p w:rsidR="00000000" w:rsidRDefault="00246B15">
      <w:pPr>
        <w:pStyle w:val="point"/>
        <w:rPr>
          <w:color w:val="000000"/>
        </w:rPr>
      </w:pPr>
      <w:r>
        <w:rPr>
          <w:color w:val="000000"/>
        </w:rPr>
        <w:t>1. Утвердить прилагаемый Порядок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союза.</w:t>
      </w:r>
    </w:p>
    <w:p w:rsidR="00000000" w:rsidRDefault="00246B15">
      <w:pPr>
        <w:pStyle w:val="point"/>
        <w:rPr>
          <w:color w:val="000000"/>
        </w:rPr>
      </w:pPr>
      <w:r>
        <w:rPr>
          <w:color w:val="000000"/>
        </w:rPr>
        <w:t>2. Установить, что перечни прод</w:t>
      </w:r>
      <w:r>
        <w:rPr>
          <w:color w:val="000000"/>
        </w:rPr>
        <w:t>укции, в отношении которой подача таможенной декларации сопровождается представлением документов об оценке соответствия требованиям технических регламентов Евразийского экономического союза или сведений о таких документах, утвержденные до вступления в силу</w:t>
      </w:r>
      <w:r>
        <w:rPr>
          <w:color w:val="000000"/>
        </w:rPr>
        <w:t xml:space="preserve"> настоящего Решения, действуют в целях, определенных Порядком, утвержденным настоящим Решением, для перечней продукции, подлежащей обязательной оценке соответствия требованиям технических регламентов Евразийского экономического союза, в отношении которой п</w:t>
      </w:r>
      <w:r>
        <w:rPr>
          <w:color w:val="000000"/>
        </w:rPr>
        <w:t>ри помещении под таможенные процедуры подтверждается соблюдение мер технического регулирования.</w:t>
      </w:r>
    </w:p>
    <w:p w:rsidR="00000000" w:rsidRDefault="00246B15">
      <w:pPr>
        <w:pStyle w:val="point"/>
        <w:rPr>
          <w:color w:val="000000"/>
        </w:rPr>
      </w:pPr>
      <w:bookmarkStart w:id="2" w:name="a2"/>
      <w:bookmarkEnd w:id="2"/>
      <w:r>
        <w:rPr>
          <w:color w:val="000000"/>
        </w:rPr>
        <w:t>3. Признать утратившим силу</w:t>
      </w:r>
      <w:r>
        <w:rPr>
          <w:color w:val="000000"/>
        </w:rPr>
        <w:t xml:space="preserve"> </w:t>
      </w:r>
      <w:r>
        <w:rPr>
          <w:color w:val="000000"/>
        </w:rPr>
        <w:t>Решение Коллегии Евразийской экономической комиссии от 25 декабря 2012 г. № 294 «О Положении о порядке ввоза на таможенную территори</w:t>
      </w:r>
      <w:r>
        <w:rPr>
          <w:color w:val="000000"/>
        </w:rPr>
        <w:t>ю Таможенного союза продукции (товаров), в отношении которой устанавливаются обязательные требования в рамках Таможенного союза».</w:t>
      </w:r>
    </w:p>
    <w:p w:rsidR="00000000" w:rsidRDefault="00246B15">
      <w:pPr>
        <w:pStyle w:val="point"/>
        <w:rPr>
          <w:color w:val="000000"/>
        </w:rPr>
      </w:pPr>
      <w:r>
        <w:rPr>
          <w:color w:val="000000"/>
        </w:rPr>
        <w:t>4. Настоящее Решение вступает в силу по истечении 60 календарных дней с даты его официального опубликования.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271"/>
        <w:gridCol w:w="1697"/>
        <w:gridCol w:w="1847"/>
        <w:gridCol w:w="1707"/>
      </w:tblGrid>
      <w:tr w:rsidR="00000000">
        <w:trPr>
          <w:trHeight w:val="238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spacing w:after="120"/>
              <w:jc w:val="center"/>
              <w:rPr>
                <w:color w:val="000000"/>
              </w:rPr>
            </w:pPr>
            <w:r>
              <w:rPr>
                <w:rStyle w:val="post"/>
                <w:color w:val="000000"/>
              </w:rPr>
              <w:t>Члены Совета Ев</w:t>
            </w:r>
            <w:r>
              <w:rPr>
                <w:rStyle w:val="post"/>
                <w:color w:val="000000"/>
              </w:rPr>
              <w:t>разийской экономической комиссии: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rPr>
                <w:color w:val="000000"/>
              </w:rPr>
            </w:pPr>
            <w:r>
              <w:rPr>
                <w:rStyle w:val="post"/>
                <w:color w:val="000000"/>
              </w:rPr>
              <w:t>От Республики Армения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rPr>
                <w:color w:val="000000"/>
              </w:rPr>
            </w:pPr>
            <w:r>
              <w:rPr>
                <w:rStyle w:val="post"/>
                <w:color w:val="000000"/>
              </w:rPr>
              <w:t>От Республики Беларусь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rPr>
                <w:color w:val="000000"/>
              </w:rPr>
            </w:pPr>
            <w:r>
              <w:rPr>
                <w:rStyle w:val="post"/>
                <w:color w:val="000000"/>
              </w:rPr>
              <w:t>От Республики Казахстан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rPr>
                <w:color w:val="000000"/>
              </w:rPr>
            </w:pPr>
            <w:r>
              <w:rPr>
                <w:rStyle w:val="post"/>
                <w:color w:val="000000"/>
              </w:rPr>
              <w:t>От Кыргызской Республики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rPr>
                <w:color w:val="000000"/>
              </w:rPr>
            </w:pPr>
            <w:r>
              <w:rPr>
                <w:rStyle w:val="post"/>
                <w:color w:val="000000"/>
              </w:rPr>
              <w:t>От Российской Федерации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ind w:firstLine="420"/>
              <w:rPr>
                <w:color w:val="000000"/>
              </w:rPr>
            </w:pPr>
            <w:r>
              <w:rPr>
                <w:rStyle w:val="pers"/>
                <w:color w:val="000000"/>
              </w:rPr>
              <w:t>М.Григорян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ind w:firstLine="397"/>
              <w:rPr>
                <w:color w:val="000000"/>
              </w:rPr>
            </w:pPr>
            <w:r>
              <w:rPr>
                <w:rStyle w:val="pers"/>
                <w:color w:val="000000"/>
              </w:rPr>
              <w:t>И.Петришенко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ind w:firstLine="420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А.Смаилов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ind w:firstLine="289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А.Кожошев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ind w:firstLine="420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А.Оверчук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3973"/>
      </w:tblGrid>
      <w:tr w:rsidR="00000000"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</w:p>
          <w:p w:rsidR="00000000" w:rsidRDefault="00246B15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Решением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Совета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Евразийской экономической комиссии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от 12 ноября 2021</w:t>
            </w:r>
            <w:r>
              <w:rPr>
                <w:color w:val="000000"/>
              </w:rPr>
              <w:t> г.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130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000000" w:rsidRDefault="00246B15">
      <w:pPr>
        <w:pStyle w:val="titleu"/>
        <w:jc w:val="center"/>
        <w:rPr>
          <w:color w:val="000000"/>
        </w:rPr>
      </w:pPr>
      <w:bookmarkStart w:id="3" w:name="a1"/>
      <w:bookmarkEnd w:id="3"/>
      <w:r>
        <w:rPr>
          <w:color w:val="000000"/>
        </w:rPr>
        <w:t>ПОРЯДОК</w:t>
      </w:r>
      <w:r>
        <w:rPr>
          <w:color w:val="000000"/>
        </w:rPr>
        <w:br/>
        <w:t>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</w:t>
      </w:r>
      <w:r>
        <w:rPr>
          <w:color w:val="000000"/>
        </w:rPr>
        <w:t>ского союза</w:t>
      </w:r>
    </w:p>
    <w:p w:rsidR="00000000" w:rsidRDefault="00246B15">
      <w:pPr>
        <w:pStyle w:val="point"/>
        <w:rPr>
          <w:color w:val="000000"/>
        </w:rPr>
      </w:pPr>
      <w:r>
        <w:rPr>
          <w:color w:val="000000"/>
        </w:rPr>
        <w:t>1. Настоящий Порядок разработан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8 Протокола о техническом регулировании в рамках Евразийского экономического союза (приложение № 9 к Договору о Евразийском экономическом союзе от 29 мая 2014 года),</w:t>
      </w:r>
      <w:r>
        <w:rPr>
          <w:color w:val="000000"/>
        </w:rPr>
        <w:t xml:space="preserve"> </w:t>
      </w:r>
      <w:r>
        <w:rPr>
          <w:color w:val="000000"/>
        </w:rPr>
        <w:t>пунктом 2 статьи 7 Та</w:t>
      </w:r>
      <w:r>
        <w:rPr>
          <w:color w:val="000000"/>
        </w:rPr>
        <w:t>моженного кодекса Евразийского экономического союза (далее – Таможенный кодекс) и определяет порядок ввоза на таможенную территорию Евразийского экономического союза (далее – Союз) продукции, подлежащей обязательной оценке соответствия на таможенной террит</w:t>
      </w:r>
      <w:r>
        <w:rPr>
          <w:color w:val="000000"/>
        </w:rPr>
        <w:t>ории Союза, в отношении которой при помещении под таможенные процедуры подтверждается соблюдение мер технического регулирования (далее – ввозимая (ввезенная) продукция), а также случаи и порядок подтверждения соблюдения мер технического регулирования в отн</w:t>
      </w:r>
      <w:r>
        <w:rPr>
          <w:color w:val="000000"/>
        </w:rPr>
        <w:t>ошении такой продукции.</w:t>
      </w:r>
    </w:p>
    <w:p w:rsidR="00000000" w:rsidRDefault="00246B15">
      <w:pPr>
        <w:pStyle w:val="point"/>
        <w:rPr>
          <w:color w:val="000000"/>
        </w:rPr>
      </w:pPr>
      <w:r>
        <w:rPr>
          <w:color w:val="000000"/>
        </w:rPr>
        <w:t>2. Соблюдение мер технического регулирования в отношении ввозимой (ввезенной) продукции подтверждается в следующих случаях:</w:t>
      </w:r>
    </w:p>
    <w:p w:rsidR="00000000" w:rsidRDefault="00246B15">
      <w:pPr>
        <w:pStyle w:val="newncpi"/>
        <w:rPr>
          <w:color w:val="000000"/>
        </w:rPr>
      </w:pPr>
      <w:bookmarkStart w:id="4" w:name="a4"/>
      <w:bookmarkEnd w:id="4"/>
      <w:r>
        <w:rPr>
          <w:color w:val="000000"/>
        </w:rPr>
        <w:t xml:space="preserve">а) ввозимая (ввезенная) продукция включена в перечни продукции, подлежащей обязательной оценке соответствия </w:t>
      </w:r>
      <w:r>
        <w:rPr>
          <w:color w:val="000000"/>
        </w:rPr>
        <w:t>требованиям технических регламентов Союза, в отношении которой при помещении под таможенные процедуры подтверждается соблюдение мер технического регулирования, утверждаемые Коллегией Евразийской экономической комиссии;</w:t>
      </w:r>
    </w:p>
    <w:p w:rsidR="00000000" w:rsidRDefault="00246B15">
      <w:pPr>
        <w:pStyle w:val="newncpi"/>
        <w:rPr>
          <w:color w:val="000000"/>
        </w:rPr>
      </w:pPr>
      <w:bookmarkStart w:id="5" w:name="a5"/>
      <w:bookmarkEnd w:id="5"/>
      <w:r>
        <w:rPr>
          <w:color w:val="000000"/>
        </w:rPr>
        <w:t>б) ввозимая (ввезенная) продукция вкл</w:t>
      </w:r>
      <w:r>
        <w:rPr>
          <w:color w:val="000000"/>
        </w:rPr>
        <w:t>ючена в Единый</w:t>
      </w:r>
      <w:r>
        <w:rPr>
          <w:color w:val="000000"/>
        </w:rPr>
        <w:t xml:space="preserve"> </w:t>
      </w:r>
      <w:r>
        <w:rPr>
          <w:color w:val="000000"/>
        </w:rPr>
        <w:t>перечень продукции, в отношении которой устанавливаются обязательные требования в рамках Таможенного союза, утвержденный Решением Комиссии Таможенного союза от 28 января 2011 г. № 526, и в отношении этой продукции в соответствии с законодате</w:t>
      </w:r>
      <w:r>
        <w:rPr>
          <w:color w:val="000000"/>
        </w:rPr>
        <w:t>льством государств – членов Союза (далее – государства-члены) установлены обязательные требования в части проведения оценки соответствия.</w:t>
      </w:r>
    </w:p>
    <w:p w:rsidR="00000000" w:rsidRDefault="00246B15">
      <w:pPr>
        <w:pStyle w:val="point"/>
        <w:rPr>
          <w:color w:val="000000"/>
        </w:rPr>
      </w:pPr>
      <w:bookmarkStart w:id="6" w:name="a6"/>
      <w:bookmarkEnd w:id="6"/>
      <w:r>
        <w:rPr>
          <w:color w:val="000000"/>
        </w:rPr>
        <w:t>3. Соблюдение мер технического регулирования в отношении ввозимой (ввезенной) продукции, в отношении которой техническ</w:t>
      </w:r>
      <w:r>
        <w:rPr>
          <w:color w:val="000000"/>
        </w:rPr>
        <w:t>ими регламентами Союза предусмотрено проведение оценки соответствия в форме государственной регистрации или ветеринарно-санитарной экспертизы, подтверждается в соответствии с решениями Комиссии Таможенного союза от 28 мая 2010 г.</w:t>
      </w:r>
      <w:r>
        <w:rPr>
          <w:color w:val="000000"/>
        </w:rPr>
        <w:t xml:space="preserve"> </w:t>
      </w:r>
      <w:r>
        <w:rPr>
          <w:color w:val="000000"/>
        </w:rPr>
        <w:t>№ 299 и от 18 июня 2010 г.</w:t>
      </w:r>
      <w:r>
        <w:rPr>
          <w:color w:val="000000"/>
        </w:rPr>
        <w:t xml:space="preserve"> </w:t>
      </w:r>
      <w:r>
        <w:rPr>
          <w:color w:val="000000"/>
        </w:rPr>
        <w:t>№ 317.</w:t>
      </w:r>
    </w:p>
    <w:p w:rsidR="00000000" w:rsidRDefault="00246B15">
      <w:pPr>
        <w:pStyle w:val="point"/>
        <w:rPr>
          <w:color w:val="000000"/>
        </w:rPr>
      </w:pPr>
      <w:bookmarkStart w:id="7" w:name="a12"/>
      <w:bookmarkEnd w:id="7"/>
      <w:r>
        <w:rPr>
          <w:color w:val="000000"/>
        </w:rPr>
        <w:t>4. Документами, подтверждающими соблюдение мер технического регулирования, являются: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а) для ввозимой (ввезенной) продукции, указанной в подпункте «а» пункта 2 настоящего Порядка, – документ об оценке соответствия, предусмотренный техническим реглам</w:t>
      </w:r>
      <w:r>
        <w:rPr>
          <w:color w:val="000000"/>
        </w:rPr>
        <w:t xml:space="preserve">ентом (техническими регламентами) Союза (сертификат соответствия требованиям технических регламентов Союза, декларация о соответствии требованиям технических регламентов Союза, свидетельство о классификации маломерного судна, свидетельство о </w:t>
      </w:r>
      <w:r>
        <w:rPr>
          <w:color w:val="000000"/>
        </w:rPr>
        <w:lastRenderedPageBreak/>
        <w:t>регистрации (г</w:t>
      </w:r>
      <w:r>
        <w:rPr>
          <w:color w:val="000000"/>
        </w:rPr>
        <w:t>осударственной регистрации), одобрение типа транспортного средства (одобрение типа шасси) или иной документ, предусмотренный техническим регламентом Союза);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б) для ввозимой (ввезенной) продукции, указанной в подпункте «б» пункта 2 настоящего Порядка, – док</w:t>
      </w:r>
      <w:r>
        <w:rPr>
          <w:color w:val="000000"/>
        </w:rPr>
        <w:t>умент об оценке соответствия, предусмотренный законодательством государства-члена, на территории которого продукция, подлежащая обязательной оценке соответствия, помещается под таможенные процедуры, либо сертификат соответствия или декларация о соответстви</w:t>
      </w:r>
      <w:r>
        <w:rPr>
          <w:color w:val="000000"/>
        </w:rPr>
        <w:t>и, оформленные по единой форме, на продукцию, подлежащую обязательной оценке соответствия, включенную в Единый</w:t>
      </w:r>
      <w:r>
        <w:rPr>
          <w:color w:val="000000"/>
        </w:rPr>
        <w:t xml:space="preserve"> </w:t>
      </w:r>
      <w:r>
        <w:rPr>
          <w:color w:val="000000"/>
        </w:rPr>
        <w:t>перечень продукции, подлежащей обязательному подтверждению соответствия с выдачей сертификатов соответствия и деклараций о соответствии по единой</w:t>
      </w:r>
      <w:r>
        <w:rPr>
          <w:color w:val="000000"/>
        </w:rPr>
        <w:t xml:space="preserve"> форме, утвержденный Решением Комиссии Таможенного союза от 7 апреля 2011 г. № 620.</w:t>
      </w:r>
    </w:p>
    <w:p w:rsidR="00000000" w:rsidRDefault="00246B15">
      <w:pPr>
        <w:pStyle w:val="point"/>
        <w:rPr>
          <w:color w:val="000000"/>
        </w:rPr>
      </w:pPr>
      <w:bookmarkStart w:id="8" w:name="a8"/>
      <w:bookmarkEnd w:id="8"/>
      <w:r>
        <w:rPr>
          <w:color w:val="000000"/>
        </w:rPr>
        <w:t xml:space="preserve">5. Соблюдение мер технического регулирования в отношении ввозимой (ввезенной) продукции, за исключением продукции, указанной в пункте 3 </w:t>
      </w:r>
      <w:r>
        <w:rPr>
          <w:color w:val="000000"/>
        </w:rPr>
        <w:t>настоящего Порядка, подтверждается при помещении этой продукции под следующие таможенные процедуры: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а) выпуск для внутреннего потребления, за исключением случая помещения под эту таможенную процедуру продукции, в отношении которой соблюдение мер техническо</w:t>
      </w:r>
      <w:r>
        <w:rPr>
          <w:color w:val="000000"/>
        </w:rPr>
        <w:t>го регулирования было подтверждено при помещении под таможенную процедуру свободной таможенной зоны в соответствии с подпунктом «б» настоящего пункта, если на момент регистрации таможенным органом декларации на товары документ, подтверждающий соблюдение ме</w:t>
      </w:r>
      <w:r>
        <w:rPr>
          <w:color w:val="000000"/>
        </w:rPr>
        <w:t>р технического регулирования при ввозе такой продукции, является действующим, либо случая, 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пунктом 2 статьи 246 Таможенного кодекса;</w:t>
      </w:r>
    </w:p>
    <w:p w:rsidR="00000000" w:rsidRDefault="00246B15">
      <w:pPr>
        <w:pStyle w:val="newncpi"/>
        <w:rPr>
          <w:color w:val="000000"/>
        </w:rPr>
      </w:pPr>
      <w:bookmarkStart w:id="9" w:name="a7"/>
      <w:bookmarkEnd w:id="9"/>
      <w:r>
        <w:rPr>
          <w:color w:val="000000"/>
        </w:rPr>
        <w:t>б) свободная таможенная зона (только на территориях свободных (специальных, особых) экономических зон, ука</w:t>
      </w:r>
      <w:r>
        <w:rPr>
          <w:color w:val="000000"/>
        </w:rPr>
        <w:t>занных в</w:t>
      </w:r>
      <w:r>
        <w:rPr>
          <w:color w:val="000000"/>
        </w:rPr>
        <w:t xml:space="preserve"> </w:t>
      </w:r>
      <w:r>
        <w:rPr>
          <w:color w:val="000000"/>
        </w:rPr>
        <w:t>пункте 1 статьи 455 Таможенного кодекса). Особенности подтверждения соблюдения мер технического регулирования могут быть определены решением Совета Евразийской экономической комиссии;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в) отказ в пользу государства;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г) специальная таможенная процед</w:t>
      </w:r>
      <w:r>
        <w:rPr>
          <w:color w:val="000000"/>
        </w:rPr>
        <w:t>ура (если соблюдение мер технического регулирования является условием помещения отдельной категории товаров под специальную таможенную процедуру).</w:t>
      </w:r>
    </w:p>
    <w:p w:rsidR="00000000" w:rsidRDefault="00246B15">
      <w:pPr>
        <w:pStyle w:val="point"/>
        <w:rPr>
          <w:color w:val="000000"/>
        </w:rPr>
      </w:pPr>
      <w:bookmarkStart w:id="10" w:name="a13"/>
      <w:bookmarkEnd w:id="10"/>
      <w:r>
        <w:rPr>
          <w:color w:val="000000"/>
        </w:rPr>
        <w:t>6. Подтверждение соблюдения мер технического регулирования в соответствии с пунктом 5 настоящего Порядка не т</w:t>
      </w:r>
      <w:r>
        <w:rPr>
          <w:color w:val="000000"/>
        </w:rPr>
        <w:t>ребуется в отношении ввозимой (ввезенной) продукции, если такая продукция является:</w:t>
      </w:r>
    </w:p>
    <w:p w:rsidR="00000000" w:rsidRDefault="00246B15">
      <w:pPr>
        <w:pStyle w:val="newncpi"/>
        <w:rPr>
          <w:color w:val="000000"/>
        </w:rPr>
      </w:pPr>
      <w:bookmarkStart w:id="11" w:name="a9"/>
      <w:bookmarkEnd w:id="11"/>
      <w:r>
        <w:rPr>
          <w:color w:val="000000"/>
        </w:rPr>
        <w:t>а) образцами (пробами) продукции, которые ввозятся (ввезены) для проведения исследований (испытаний) и измерений, при условии наличия у декларанта договора с органом по оце</w:t>
      </w:r>
      <w:r>
        <w:rPr>
          <w:color w:val="000000"/>
        </w:rPr>
        <w:t>нке соответствия (органом по сертификации продукции или испытательной лабораторией (центром)), предусмотренным соответствующим техническим регламентом Союза, или письма такого органа по оценке соответствия (органа по сертификации продукции или испытательно</w:t>
      </w:r>
      <w:r>
        <w:rPr>
          <w:color w:val="000000"/>
        </w:rPr>
        <w:t>й лаборатории (центра)), подтверждающих необходимое для этих целей количество ввезенных образцов (проб) продукции;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б) образцами (пробами) продукции, которые ввозятся (ввезены) для проведения межлабораторных сравнительных испытаний (межлабораторных сличений</w:t>
      </w:r>
      <w:r>
        <w:rPr>
          <w:color w:val="000000"/>
        </w:rPr>
        <w:t xml:space="preserve">), поверки или калибровки средств измерений, сличения эталонов, при условии наличия у декларанта договора о проведении межлабораторных сравнительных испытаний (межлабораторных сличений), поверки или калибровки средств измерений, сличения эталонов, </w:t>
      </w:r>
      <w:r>
        <w:rPr>
          <w:color w:val="000000"/>
        </w:rPr>
        <w:lastRenderedPageBreak/>
        <w:t>подтверж</w:t>
      </w:r>
      <w:r>
        <w:rPr>
          <w:color w:val="000000"/>
        </w:rPr>
        <w:t>дающего необходимое для этих целей количество ввезенных образцов (проб) продукции;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в) образцами (образцами-эталонами, экземплярами) продукции, которые ввозятся (ввезены) в количестве, весе или объеме, предусмотренном сделкой (при условии наличия у декларан</w:t>
      </w:r>
      <w:r>
        <w:rPr>
          <w:color w:val="000000"/>
        </w:rPr>
        <w:t>та документа, подтверждающего совершение сделки, а в случае отсутствия сделки – при наличии у декларанта документа, подтверждающего право владения, пользования и (или) распоряжения такими образцами), и будут использованы в целях проведения научно-исследова</w:t>
      </w:r>
      <w:r>
        <w:rPr>
          <w:color w:val="000000"/>
        </w:rPr>
        <w:t>тельских и опытно-конструкторских работ, за исключением исследований (испытаний) и измерений, предусмотренных подпунктами «а», «б» и «г» настоящего пункта;</w:t>
      </w:r>
    </w:p>
    <w:p w:rsidR="00000000" w:rsidRDefault="00246B15">
      <w:pPr>
        <w:pStyle w:val="newncpi"/>
        <w:rPr>
          <w:color w:val="000000"/>
        </w:rPr>
      </w:pPr>
      <w:bookmarkStart w:id="12" w:name="a10"/>
      <w:bookmarkEnd w:id="12"/>
      <w:r>
        <w:rPr>
          <w:color w:val="000000"/>
        </w:rPr>
        <w:t>г) образцами (экземплярами) продукции, которые ввозятся (ввезены) в количестве, весе или объеме, пре</w:t>
      </w:r>
      <w:r>
        <w:rPr>
          <w:color w:val="000000"/>
        </w:rPr>
        <w:t>дусмотренном сделкой (при условии наличия у декларанта документа, подтверждающего совершение сделки, а в случае отсутствия сделки – при наличии у декларанта документа, подтверждающего право владения, пользования и (или) распоряжения такими образцами (экзем</w:t>
      </w:r>
      <w:r>
        <w:rPr>
          <w:color w:val="000000"/>
        </w:rPr>
        <w:t>плярами)), и будут использованы для представительских целей в качестве сувениров или рекламных материалов, за исключением целей, предусмотренных подпунктами «а»–«в» настоящего пункта;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д) запасными частями, которые ввозятся (ввезены) уполномоченным иностран</w:t>
      </w:r>
      <w:r>
        <w:rPr>
          <w:color w:val="000000"/>
        </w:rPr>
        <w:t>ным изготовителем готовой продукции лицом для обслуживания и (или) ремонта ранее ввезенной либо ввозимой указанным лицом на таможенную территорию Союза готовой продукции, а также изготовителем государства-члена либо уполномоченным им лицом для обслуживания</w:t>
      </w:r>
      <w:r>
        <w:rPr>
          <w:color w:val="000000"/>
        </w:rPr>
        <w:t xml:space="preserve"> и (или) ремонта ранее произведенной и выпущенной в обращение готовой продукции, в отношении которой подтверждено соответствие обязательным требованиям, при условии представления в таможенный орган документов об оценке соответствия готовой продукции (в том</w:t>
      </w:r>
      <w:r>
        <w:rPr>
          <w:color w:val="000000"/>
        </w:rPr>
        <w:t xml:space="preserve"> числе с истекшим сроком действия), требующей обслуживания и (или) ремонта, и (или) сведений о таких документах.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Запасными частями следует считать отдельные детали, предназначенные для замены (ремонта) находящихся (находившихся) в эксплуатации (изношенных,</w:t>
      </w:r>
      <w:r>
        <w:rPr>
          <w:color w:val="000000"/>
        </w:rPr>
        <w:t xml:space="preserve"> неисправных, отказавших) таких же частей в целях поддержания или восстановления работоспособного состояния изделия без цели их распространения на таможенной территории Союза в ходе коммерческой деятельности;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е) комплектующими, компонентами, сырьем и (или)</w:t>
      </w:r>
      <w:r>
        <w:rPr>
          <w:color w:val="000000"/>
        </w:rPr>
        <w:t xml:space="preserve"> материалами для производства (изготовления) продукции на таможенной территории Союза, которые ввозятся (ввезены) изготовителем такой продукции либо уполномоченным им лицом для производства (изготовления) продукции исключительно для целей декларанта (если </w:t>
      </w:r>
      <w:r>
        <w:rPr>
          <w:color w:val="000000"/>
        </w:rPr>
        <w:t>иное не установлено техническим регламентом Союза) при условии наличия у декларанта документа, подтверждающего совершение сделки, а в случае отсутствия сделки – при наличии у декларанта документа, подтверждающего право владения, пользования и (или) распоря</w:t>
      </w:r>
      <w:r>
        <w:rPr>
          <w:color w:val="000000"/>
        </w:rPr>
        <w:t>жения такими комплектующими, компонентами, сырьем и (или) материалами;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ж) товарами, которые ввозятся (ввезены) в адрес расположенных на таможенной территории Союза дипломатических представительств и консульских учреждений (в понимании</w:t>
      </w:r>
      <w:r>
        <w:rPr>
          <w:color w:val="000000"/>
        </w:rPr>
        <w:t xml:space="preserve"> </w:t>
      </w:r>
      <w:r>
        <w:rPr>
          <w:color w:val="000000"/>
        </w:rPr>
        <w:t xml:space="preserve">подпункта 2 пункта 3 </w:t>
      </w:r>
      <w:r>
        <w:rPr>
          <w:color w:val="000000"/>
        </w:rPr>
        <w:t>статьи 2 Таможенного кодекса), представительств государств при международных организациях, международных организаций или их представительств, пользующихся привилегиями и (или) иммунитетами в соответствии с международными договорами государств-членов с трет</w:t>
      </w:r>
      <w:r>
        <w:rPr>
          <w:color w:val="000000"/>
        </w:rPr>
        <w:t>ьей стороной и международными договорами между государствами-членами, иных организаций или их представительств (в понимании</w:t>
      </w:r>
      <w:r>
        <w:rPr>
          <w:color w:val="000000"/>
        </w:rPr>
        <w:t xml:space="preserve"> </w:t>
      </w:r>
      <w:r>
        <w:rPr>
          <w:color w:val="000000"/>
        </w:rPr>
        <w:t>подпункта 3 пункта 3 статьи 2 Таможенного кодекса) при условии представления ими в таможенный орган мотивированного обращения о потр</w:t>
      </w:r>
      <w:r>
        <w:rPr>
          <w:color w:val="000000"/>
        </w:rPr>
        <w:t xml:space="preserve">еблении </w:t>
      </w:r>
      <w:r>
        <w:rPr>
          <w:color w:val="000000"/>
        </w:rPr>
        <w:lastRenderedPageBreak/>
        <w:t>(использовании) этих товаров исключительно такими представительствами, учреждениями, организациями;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з) гуманитарной и технической помощью, которая ввозится (ввезена) в установленном законодательством государства-члена порядке, если это предусмотрен</w:t>
      </w:r>
      <w:r>
        <w:rPr>
          <w:color w:val="000000"/>
        </w:rPr>
        <w:t>о законодательством этого государства-члена;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 xml:space="preserve">и) товарами, необходимыми для ликвидации последствий стихийных бедствий, чрезвычайных ситуаций природного и техногенного характера, что подтверждается представлением в таможенный орган письменного подтверждения </w:t>
      </w:r>
      <w:r>
        <w:rPr>
          <w:color w:val="000000"/>
        </w:rPr>
        <w:t>государственного органа государства-члена, уполномоченного в сфере чрезвычайных ситуаций, о том, что ввозимые товары предназначены для указанных целей;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к) продукцией, бывшей в употреблении (эксплуатации) (если иное не установлено техническим регламентом Со</w:t>
      </w:r>
      <w:r>
        <w:rPr>
          <w:color w:val="000000"/>
        </w:rPr>
        <w:t>юза);</w:t>
      </w:r>
    </w:p>
    <w:p w:rsidR="00000000" w:rsidRDefault="00246B15">
      <w:pPr>
        <w:pStyle w:val="newncpi"/>
        <w:rPr>
          <w:color w:val="000000"/>
        </w:rPr>
      </w:pPr>
      <w:bookmarkStart w:id="13" w:name="a11"/>
      <w:bookmarkEnd w:id="13"/>
      <w:r>
        <w:rPr>
          <w:color w:val="000000"/>
        </w:rPr>
        <w:t>л) отдельным экземпляром штучной продукции (далее – единичный экземпляр) либо совокупностью элементов экземпляра штучной продукции, обладающих совместимостью и имеющих одно назначение, для изготовления из них единичного экземпляра (далее – комплект д</w:t>
      </w:r>
      <w:r>
        <w:rPr>
          <w:color w:val="000000"/>
        </w:rPr>
        <w:t>еталей), которые ввозятся (ввезены) в соответствии со сделкой (в случае ввоза комплекта деталей – в количестве, предусмотренном сделкой) (при условии наличия у декларанта документа, подтверждающего совершение сделки, а в случае отсутствия сделки – при нали</w:t>
      </w:r>
      <w:r>
        <w:rPr>
          <w:color w:val="000000"/>
        </w:rPr>
        <w:t xml:space="preserve">чии у декларанта документа, подтверждающего право владения, пользования и (или) распоряжения таким единичным экземпляром (комплектом деталей)) и будут использованы для нужд, исключающих их распространение на таможенной территории Союза в ходе коммерческой </w:t>
      </w:r>
      <w:r>
        <w:rPr>
          <w:color w:val="000000"/>
        </w:rPr>
        <w:t>деятельности на безвозмездной или возмездной основе (если иное не установлено техническим регламентом Союза). Использованием единичного экземпляра (комплекта деталей) для нужд, исключающих его распространение на таможенной территории Союза в ходе коммерчес</w:t>
      </w:r>
      <w:r>
        <w:rPr>
          <w:color w:val="000000"/>
        </w:rPr>
        <w:t>кой деятельности, следует считать применение (использование) единичного экземпляра (комплекта деталей) декларантом исключительно для собственных нужд, без цели его реализации, распространения, передачи или отчуждения иными способами, а также распространени</w:t>
      </w:r>
      <w:r>
        <w:rPr>
          <w:color w:val="000000"/>
        </w:rPr>
        <w:t>я в ходе коммерческой деятельности на таможенной территории Союза на безвозмездной или возмездной основе.</w:t>
      </w:r>
    </w:p>
    <w:p w:rsidR="00000000" w:rsidRDefault="00246B15">
      <w:pPr>
        <w:pStyle w:val="point"/>
        <w:rPr>
          <w:color w:val="000000"/>
        </w:rPr>
      </w:pPr>
      <w:r>
        <w:rPr>
          <w:color w:val="000000"/>
        </w:rPr>
        <w:t xml:space="preserve">7. Подтверждением использования ввозимой (ввезенной) продукции для нужд и целей, указанных в подпунктах «а»–«л» пункта 6 настоящего Порядка, является </w:t>
      </w:r>
      <w:r>
        <w:rPr>
          <w:color w:val="000000"/>
        </w:rPr>
        <w:t>уведомление декларанта, которое представляется в виде электронного документа, заверенного электронной подписью, или документа на бумажном носителе по форме согласно приложению, заверенного подписью и печатью декларанта.</w:t>
      </w:r>
    </w:p>
    <w:p w:rsidR="00000000" w:rsidRDefault="00246B15">
      <w:pPr>
        <w:pStyle w:val="point"/>
        <w:rPr>
          <w:color w:val="000000"/>
        </w:rPr>
      </w:pPr>
      <w:r>
        <w:rPr>
          <w:color w:val="000000"/>
        </w:rPr>
        <w:t>8. Документы, подтверждающие соответ</w:t>
      </w:r>
      <w:r>
        <w:rPr>
          <w:color w:val="000000"/>
        </w:rPr>
        <w:t>ствие ввозимой (ввезенной) продукции требованиям технических регламентов Союза или обязательным требованиям, установленным законодательством государств-членов, и (или) сведения о них, а также документы на продукцию, указанную в подпунктах «а»–«д» и «л» пун</w:t>
      </w:r>
      <w:r>
        <w:rPr>
          <w:color w:val="000000"/>
        </w:rPr>
        <w:t>кта 6 настоящего Порядка, и (или) сведения о таких документах представляются в таможенный орган в соответствии с Таможенным</w:t>
      </w:r>
      <w:r>
        <w:rPr>
          <w:color w:val="000000"/>
        </w:rPr>
        <w:t xml:space="preserve"> </w:t>
      </w:r>
      <w:r>
        <w:rPr>
          <w:color w:val="000000"/>
        </w:rPr>
        <w:t>кодексом.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В целях обеспечения возможности представления в таможенный орган в случаях, определенных Таможенным</w:t>
      </w:r>
      <w:r>
        <w:rPr>
          <w:color w:val="000000"/>
        </w:rPr>
        <w:t xml:space="preserve"> </w:t>
      </w:r>
      <w:r>
        <w:rPr>
          <w:color w:val="000000"/>
        </w:rPr>
        <w:t xml:space="preserve">кодексом, документов, </w:t>
      </w:r>
      <w:r>
        <w:rPr>
          <w:color w:val="000000"/>
        </w:rPr>
        <w:t>указанных в пункте 4 настоящего Порядка, они должны находиться у декларанта ввозимой (ввезенной) продукции на момент подачи декларации на товары (заявления о выпуске товаров до подачи декларации на товары).</w:t>
      </w:r>
    </w:p>
    <w:p w:rsidR="00000000" w:rsidRDefault="00246B15">
      <w:pPr>
        <w:pStyle w:val="point"/>
        <w:rPr>
          <w:color w:val="000000"/>
        </w:rPr>
      </w:pPr>
      <w:r>
        <w:rPr>
          <w:color w:val="000000"/>
        </w:rPr>
        <w:t>9. Документы об оценке соответствия, представляем</w:t>
      </w:r>
      <w:r>
        <w:rPr>
          <w:color w:val="000000"/>
        </w:rPr>
        <w:t xml:space="preserve">ые в таможенный орган для подтверждения соблюдения мер технического регулирования в отношении ввозимой </w:t>
      </w:r>
      <w:r>
        <w:rPr>
          <w:color w:val="000000"/>
        </w:rPr>
        <w:lastRenderedPageBreak/>
        <w:t>(ввезенной) продукции, должны быть действительны на дату регистрации декларации на товары (заявления о выпуске товаров до подачи декларации на товары), а</w:t>
      </w:r>
      <w:r>
        <w:rPr>
          <w:color w:val="000000"/>
        </w:rPr>
        <w:t xml:space="preserve"> при предварительном таможенном декларировании – на дату регистрации таможенным органом таможенного документа, которым изменяются (дополняются) сведения, заявленные в таможенной декларации, либо на дату регистрации таможенным органом уведомления об отсутст</w:t>
      </w:r>
      <w:r>
        <w:rPr>
          <w:color w:val="000000"/>
        </w:rPr>
        <w:t>вии необходимости внесения изменений (дополнений) в декларацию на товары.</w:t>
      </w:r>
    </w:p>
    <w:p w:rsidR="00000000" w:rsidRDefault="00246B15">
      <w:pPr>
        <w:pStyle w:val="point"/>
        <w:rPr>
          <w:color w:val="000000"/>
        </w:rPr>
      </w:pPr>
      <w:r>
        <w:rPr>
          <w:color w:val="000000"/>
        </w:rPr>
        <w:t>10. Использование документов, указанных в пункте 4 настоящего Порядка, для подтверждения соблюдения мер технического регулирования в отношении ввозимой (ввезенной) продукции допускае</w:t>
      </w:r>
      <w:r>
        <w:rPr>
          <w:color w:val="000000"/>
        </w:rPr>
        <w:t>тся, если декларантом такой продукции является: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а) лицо, указанное в таких документах в качестве заявителя при оценке соответствия этой продукции обязательным требованиям;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б) лицо (лица), указанное (указанные) в одобрении типа транспортного средства (одобр</w:t>
      </w:r>
      <w:r>
        <w:rPr>
          <w:color w:val="000000"/>
        </w:rPr>
        <w:t>ении типа шасси);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 xml:space="preserve">в) лицо, уполномоченное заявителем при оценке соответствия или изготовителем на использование таких документов для подтверждения соблюдения мер технического регулирования, – для продукции серийного производства. Право использования таких </w:t>
      </w:r>
      <w:r>
        <w:rPr>
          <w:color w:val="000000"/>
        </w:rPr>
        <w:t>документов подтверждается посредством предоставления указанному лицу их копий, заверенных печатью заявителя при оценке соответствия или изготовителя.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46B15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44"/>
      </w:tblGrid>
      <w:tr w:rsidR="00000000"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append1"/>
              <w:rPr>
                <w:color w:val="000000"/>
              </w:rPr>
            </w:pPr>
            <w:bookmarkStart w:id="14" w:name="a14"/>
            <w:bookmarkEnd w:id="14"/>
            <w:r>
              <w:rPr>
                <w:color w:val="000000"/>
              </w:rPr>
              <w:t>Приложение</w:t>
            </w:r>
          </w:p>
          <w:p w:rsidR="00000000" w:rsidRDefault="00246B15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Порядку ввоза на таможенную территорию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Евразийского экономического союза</w:t>
            </w:r>
            <w:r>
              <w:rPr>
                <w:color w:val="000000"/>
              </w:rPr>
              <w:br/>
              <w:t>продукции, подлежащей обязательной оценке</w:t>
            </w:r>
            <w:r>
              <w:rPr>
                <w:color w:val="000000"/>
              </w:rPr>
              <w:br/>
              <w:t>соответствия на таможенной территории</w:t>
            </w:r>
            <w:r>
              <w:rPr>
                <w:color w:val="000000"/>
              </w:rPr>
              <w:br/>
              <w:t xml:space="preserve">Евразийского экономического союза 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000000" w:rsidRDefault="00246B15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246B15">
      <w:pPr>
        <w:pStyle w:val="onestring"/>
        <w:rPr>
          <w:color w:val="000000"/>
        </w:rPr>
      </w:pPr>
      <w:r>
        <w:rPr>
          <w:color w:val="000000"/>
        </w:rPr>
        <w:t>(форма)</w:t>
      </w:r>
    </w:p>
    <w:p w:rsidR="00000000" w:rsidRDefault="00246B15">
      <w:pPr>
        <w:pStyle w:val="titlep"/>
        <w:rPr>
          <w:color w:val="000000"/>
        </w:rPr>
      </w:pPr>
      <w:r>
        <w:rPr>
          <w:color w:val="000000"/>
        </w:rPr>
        <w:t>УВЕДОМЛЕНИЕ</w:t>
      </w:r>
      <w:r>
        <w:rPr>
          <w:color w:val="000000"/>
        </w:rPr>
        <w:br/>
        <w:t>о подтверждении использования в заявленных нуждах и целях ввозимой (ввезенной) про</w:t>
      </w:r>
      <w:r>
        <w:rPr>
          <w:color w:val="000000"/>
        </w:rPr>
        <w:t>дукции, подлежащей обязательной оценке соответствия на таможенной территории Евразийского экономического союза, в отношении которой</w:t>
      </w:r>
      <w:r>
        <w:rPr>
          <w:color w:val="000000"/>
        </w:rPr>
        <w:br/>
        <w:t>при помещении под таможенные процедуры не требуется подтверждение</w:t>
      </w:r>
      <w:r>
        <w:rPr>
          <w:color w:val="000000"/>
        </w:rPr>
        <w:br/>
        <w:t>соблюдения мер технического регулирования</w:t>
      </w:r>
    </w:p>
    <w:p w:rsidR="00000000" w:rsidRDefault="00246B15">
      <w:pPr>
        <w:pStyle w:val="newncpi0"/>
        <w:jc w:val="center"/>
        <w:rPr>
          <w:color w:val="000000"/>
        </w:rPr>
      </w:pPr>
      <w:r>
        <w:rPr>
          <w:color w:val="000000"/>
        </w:rPr>
        <w:t>№ __________</w:t>
      </w:r>
    </w:p>
    <w:p w:rsidR="00000000" w:rsidRDefault="00246B15">
      <w:pPr>
        <w:pStyle w:val="undline"/>
        <w:jc w:val="center"/>
        <w:rPr>
          <w:color w:val="000000"/>
        </w:rPr>
      </w:pPr>
      <w:r>
        <w:rPr>
          <w:color w:val="000000"/>
        </w:rPr>
        <w:t>(но</w:t>
      </w:r>
      <w:r>
        <w:rPr>
          <w:color w:val="000000"/>
        </w:rPr>
        <w:t>мер уведомления, присвоенный декларантом)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46B15">
      <w:pPr>
        <w:pStyle w:val="newncpi0"/>
        <w:rPr>
          <w:color w:val="000000"/>
        </w:rPr>
      </w:pPr>
      <w:r>
        <w:rPr>
          <w:color w:val="000000"/>
        </w:rPr>
        <w:t>НАСТОЯЩИМ _________________________________________________ УВЕДОМЛЯЕТ</w:t>
      </w:r>
    </w:p>
    <w:p w:rsidR="00000000" w:rsidRDefault="00246B15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(Ф.И.О.) декларанта)</w:t>
      </w:r>
    </w:p>
    <w:p w:rsidR="00000000" w:rsidRDefault="00246B15">
      <w:pPr>
        <w:pStyle w:val="newncpi0"/>
        <w:rPr>
          <w:color w:val="000000"/>
        </w:rPr>
      </w:pPr>
      <w:r>
        <w:rPr>
          <w:color w:val="000000"/>
        </w:rPr>
        <w:t>о ввозе на таможенную территорию Евразийского экономического союза продукции (____________________________</w:t>
      </w:r>
      <w:r>
        <w:rPr>
          <w:color w:val="000000"/>
        </w:rPr>
        <w:t>_______________________________________________),</w:t>
      </w:r>
    </w:p>
    <w:p w:rsidR="00000000" w:rsidRDefault="00246B15">
      <w:pPr>
        <w:pStyle w:val="undline"/>
        <w:jc w:val="center"/>
        <w:rPr>
          <w:color w:val="000000"/>
        </w:rPr>
      </w:pPr>
      <w:r>
        <w:rPr>
          <w:color w:val="000000"/>
        </w:rPr>
        <w:t>(обозначение продукции (тип, марка, модель, артикул и др.))</w:t>
      </w:r>
    </w:p>
    <w:p w:rsidR="00000000" w:rsidRDefault="00246B15">
      <w:pPr>
        <w:pStyle w:val="newncpi0"/>
        <w:rPr>
          <w:color w:val="000000"/>
        </w:rPr>
      </w:pPr>
      <w:r>
        <w:rPr>
          <w:color w:val="000000"/>
        </w:rPr>
        <w:t>подлежащей обязательной оценке соответствия на таможенной территории Евразийского экономического союза, в отношении которой не требуется подтвержд</w:t>
      </w:r>
      <w:r>
        <w:rPr>
          <w:color w:val="000000"/>
        </w:rPr>
        <w:t>ение соблюдения мер технического регулирования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46B15">
      <w:pPr>
        <w:pStyle w:val="newncpi0"/>
        <w:rPr>
          <w:color w:val="000000"/>
        </w:rPr>
      </w:pPr>
      <w:r>
        <w:rPr>
          <w:color w:val="000000"/>
        </w:rPr>
        <w:t>СОГЛАСНО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46B15">
      <w:pPr>
        <w:pStyle w:val="newncpi0"/>
        <w:rPr>
          <w:color w:val="000000"/>
        </w:rPr>
      </w:pPr>
      <w:r>
        <w:rPr>
          <w:color w:val="000000"/>
        </w:rPr>
        <w:t>подпункту «__» пункта 6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</w:t>
      </w:r>
      <w:r>
        <w:rPr>
          <w:color w:val="000000"/>
        </w:rPr>
        <w:t>ического союза, утвержденного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Решением Совета Евразийской экономической комиссии от 12 ноября 2021</w:t>
      </w:r>
      <w:r>
        <w:rPr>
          <w:color w:val="000000"/>
        </w:rPr>
        <w:t>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130</w:t>
      </w:r>
      <w:r>
        <w:rPr>
          <w:color w:val="000000"/>
        </w:rPr>
        <w:t>.</w:t>
      </w:r>
    </w:p>
    <w:p w:rsidR="00000000" w:rsidRDefault="00246B15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1844"/>
        <w:gridCol w:w="2281"/>
      </w:tblGrid>
      <w:tr w:rsidR="00000000">
        <w:trPr>
          <w:trHeight w:val="240"/>
        </w:trPr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 </w:t>
            </w:r>
          </w:p>
        </w:tc>
      </w:tr>
      <w:tr w:rsidR="00000000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(должность, Ф.И.О.)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Дата _________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МП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46B15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наличии)</w:t>
            </w:r>
          </w:p>
          <w:p w:rsidR="00000000" w:rsidRDefault="00246B1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000000" w:rsidRDefault="00246B15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246B15" w:rsidRDefault="00246B15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246B1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CB"/>
    <w:rsid w:val="00246B15"/>
    <w:rsid w:val="00D73FE1"/>
    <w:rsid w:val="00E5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D1D94-CBED-47B8-A9FC-A0E24279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</cp:revision>
  <dcterms:created xsi:type="dcterms:W3CDTF">2025-08-01T10:54:00Z</dcterms:created>
  <dcterms:modified xsi:type="dcterms:W3CDTF">2025-08-01T10:54:00Z</dcterms:modified>
</cp:coreProperties>
</file>