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2818">
      <w:pPr>
        <w:pStyle w:val="newncpi0"/>
        <w:jc w:val="center"/>
      </w:pPr>
      <w:r>
        <w:t> </w:t>
      </w:r>
    </w:p>
    <w:p w:rsidR="00000000" w:rsidRDefault="00CB2818">
      <w:pPr>
        <w:pStyle w:val="newncpi0"/>
        <w:jc w:val="center"/>
      </w:pPr>
      <w:bookmarkStart w:id="0" w:name="a1"/>
      <w:bookmarkStart w:id="1" w:name="_GoBack"/>
      <w:bookmarkEnd w:id="0"/>
      <w:bookmarkEnd w:id="1"/>
      <w:r>
        <w:rPr>
          <w:rStyle w:val="HTML"/>
          <w:shd w:val="clear" w:color="auto" w:fill="FFFFFF"/>
        </w:rPr>
        <w:t>ПОСТАНОВЛЕНИЕ</w:t>
      </w:r>
      <w:r>
        <w:rPr>
          <w:rStyle w:val="name"/>
        </w:rPr>
        <w:t> </w:t>
      </w:r>
      <w:r>
        <w:rPr>
          <w:rStyle w:val="promulgator"/>
        </w:rPr>
        <w:t>СОВЕТА МИНИСТРОВ РЕСПУБЛИКИ БЕЛАРУСЬ</w:t>
      </w:r>
    </w:p>
    <w:p w:rsidR="00000000" w:rsidRDefault="00CB2818">
      <w:pPr>
        <w:pStyle w:val="newncpi"/>
        <w:jc w:val="center"/>
      </w:pPr>
      <w:r>
        <w:rPr>
          <w:rStyle w:val="datepr"/>
        </w:rPr>
        <w:t>1 июля 2019 г.</w:t>
      </w:r>
      <w:r>
        <w:rPr>
          <w:rStyle w:val="number"/>
        </w:rPr>
        <w:t xml:space="preserve"> №</w:t>
      </w:r>
      <w:r>
        <w:rPr>
          <w:rStyle w:val="number"/>
        </w:rPr>
        <w:t xml:space="preserve"> </w:t>
      </w:r>
      <w:r>
        <w:rPr>
          <w:rStyle w:val="HTML"/>
          <w:shd w:val="clear" w:color="auto" w:fill="FFFFFF"/>
        </w:rPr>
        <w:t>437</w:t>
      </w:r>
    </w:p>
    <w:p w:rsidR="00000000" w:rsidRDefault="00CB2818">
      <w:pPr>
        <w:pStyle w:val="titlencpi"/>
      </w:pPr>
      <w:r>
        <w:rPr>
          <w:color w:val="000080"/>
        </w:rPr>
        <w:t>Об утилизации транспортных средств</w:t>
      </w:r>
    </w:p>
    <w:p w:rsidR="00000000" w:rsidRDefault="00CB2818">
      <w:pPr>
        <w:pStyle w:val="changei"/>
      </w:pPr>
      <w:r>
        <w:t>Изменения и дополнения:</w:t>
      </w:r>
    </w:p>
    <w:p w:rsidR="00000000" w:rsidRDefault="00CB2818">
      <w:pPr>
        <w:pStyle w:val="changeadd"/>
      </w:pPr>
      <w:r>
        <w:rPr>
          <w:rStyle w:val="HTML"/>
          <w:shd w:val="clear" w:color="auto" w:fill="FFFFFF"/>
        </w:rPr>
        <w:t>Постановление</w:t>
      </w:r>
      <w:r>
        <w:t xml:space="preserve"> Совета Министров Республики Беларусь от 16 ноября 2020 г. № </w:t>
      </w:r>
      <w:r>
        <w:t>647 (Национальный правовой Интернет-портал Республики Беларусь, 19.11.2020, 5/48518);</w:t>
      </w:r>
    </w:p>
    <w:p w:rsidR="00000000" w:rsidRDefault="00CB2818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5/50110);</w:t>
      </w:r>
    </w:p>
    <w:p w:rsidR="00000000" w:rsidRDefault="00CB2818">
      <w:pPr>
        <w:pStyle w:val="changeadd"/>
      </w:pPr>
      <w:r>
        <w:t>Постановлен</w:t>
      </w:r>
      <w:r>
        <w:t>ие Совета Министров Республики Беларусь от 30 декабря 2022 г. № 951 (Национальный правовой Интернет-портал Республики Беларусь, 06.01.2023, 5/51221);</w:t>
      </w:r>
    </w:p>
    <w:p w:rsidR="00000000" w:rsidRDefault="00CB2818">
      <w:pPr>
        <w:pStyle w:val="changeadd"/>
      </w:pPr>
      <w:r>
        <w:t>Постановление Совета Министров Республики Беларусь от 18 марта 2024 г. № 185 (Национальный правовой Интерн</w:t>
      </w:r>
      <w:r>
        <w:t>ет-портал Республики Беларусь, 20.03.2024, 5/52921);</w:t>
      </w:r>
    </w:p>
    <w:p w:rsidR="00000000" w:rsidRDefault="00CB2818">
      <w:pPr>
        <w:pStyle w:val="changeadd"/>
      </w:pPr>
      <w:r>
        <w:t>Постановление Совета Министров Республики Беларусь от 18 июня 2024 г. № 432 (Национальный правовой Интернет-портал Республики Беларусь, 20.06.2024, 5/53578);</w:t>
      </w:r>
    </w:p>
    <w:p w:rsidR="00000000" w:rsidRDefault="00CB2818">
      <w:pPr>
        <w:pStyle w:val="changeadd"/>
      </w:pPr>
      <w:r>
        <w:t>Постановление Совета Министров Республики Бел</w:t>
      </w:r>
      <w:r>
        <w:t>арусь от 25 июля 2024 г. № 535 (Национальный правовой Интернет-портал Республики Беларусь, 27.07.2024, 5/53727);</w:t>
      </w:r>
    </w:p>
    <w:p w:rsidR="00000000" w:rsidRDefault="00CB2818">
      <w:pPr>
        <w:pStyle w:val="changeadd"/>
      </w:pPr>
      <w:r>
        <w:t>Постановление Совета Министров Республики Беларусь от 12 ноября 2024 г. № 830 (Национальный правовой Интернет-портал Республики Беларусь, 13.11</w:t>
      </w:r>
      <w:r>
        <w:t>.2024, 5/54149);</w:t>
      </w:r>
    </w:p>
    <w:p w:rsidR="00000000" w:rsidRDefault="00CB2818">
      <w:pPr>
        <w:pStyle w:val="changeadd"/>
      </w:pPr>
      <w:r>
        <w:t>Постановление Совета Министров Республики Беларусь от 28 января 2025 г. № 50 (Национальный правовой Интернет-портал Республики Беларусь, 30.01.2025, 5/54526)</w:t>
      </w:r>
    </w:p>
    <w:p w:rsidR="00000000" w:rsidRDefault="00CB2818">
      <w:pPr>
        <w:pStyle w:val="newncpi"/>
      </w:pPr>
      <w:r>
        <w:t> </w:t>
      </w:r>
    </w:p>
    <w:p w:rsidR="00000000" w:rsidRDefault="00CB2818">
      <w:pPr>
        <w:pStyle w:val="newncpi"/>
      </w:pPr>
      <w:r>
        <w:t>На основании</w:t>
      </w:r>
      <w:r>
        <w:t xml:space="preserve"> </w:t>
      </w:r>
      <w:r>
        <w:t xml:space="preserve">статьи 5 Закона Республики Беларусь от 30 декабря 2018 г. № 159-З </w:t>
      </w:r>
      <w:r>
        <w:t>«О внесении изменений и дополнений в некоторые законы Республики Беларусь»,</w:t>
      </w:r>
      <w:r>
        <w:t xml:space="preserve"> </w:t>
      </w:r>
      <w:r>
        <w:t>пункта 3 статьи 301,</w:t>
      </w:r>
      <w:r>
        <w:t xml:space="preserve"> </w:t>
      </w:r>
      <w:r>
        <w:t>подпункта 1.3 пункта 1,</w:t>
      </w:r>
      <w:r>
        <w:t xml:space="preserve"> </w:t>
      </w:r>
      <w:r>
        <w:t>пункта 2 статьи 302 и</w:t>
      </w:r>
      <w:r>
        <w:t> </w:t>
      </w:r>
      <w:r>
        <w:t>статьи 304 Налогового кодекса Республики Беларусь Совет Министров Республики Беларусь ПОСТАНОВЛЯЕТ:</w:t>
      </w:r>
    </w:p>
    <w:p w:rsidR="00000000" w:rsidRDefault="00CB2818">
      <w:pPr>
        <w:pStyle w:val="point"/>
      </w:pPr>
      <w:r>
        <w:t xml:space="preserve">1. Утвердить </w:t>
      </w:r>
      <w:r>
        <w:t>Положение о порядке и условиях принятия обязательства обеспечить последующее безопасное обращение с отходами, образовавшимися в результате утраты транспортными средствами своих потребительских свойств (прилагается).</w:t>
      </w:r>
    </w:p>
    <w:p w:rsidR="00000000" w:rsidRDefault="00CB2818">
      <w:pPr>
        <w:pStyle w:val="point"/>
      </w:pPr>
      <w:r>
        <w:t>2. Установить:</w:t>
      </w:r>
    </w:p>
    <w:p w:rsidR="00000000" w:rsidRDefault="00CB2818">
      <w:pPr>
        <w:pStyle w:val="newncpi"/>
      </w:pPr>
      <w:r>
        <w:t>перечень документов, подт</w:t>
      </w:r>
      <w:r>
        <w:t>верждающих освобождение транспортных средств, за исключением самоходных машин и (или) прицепов к ним, от утилизационного сбора, согласно приложению 1;</w:t>
      </w:r>
    </w:p>
    <w:p w:rsidR="00000000" w:rsidRDefault="00CB2818">
      <w:pPr>
        <w:pStyle w:val="newncpi"/>
      </w:pPr>
      <w:r>
        <w:lastRenderedPageBreak/>
        <w:t xml:space="preserve">перечень видов и категорий транспортных средств, за исключением самоходных машин и (или) прицепов к ним, </w:t>
      </w:r>
      <w:r>
        <w:t>являющихся объектами обложения утилизационным сбором, а также ставок утилизационного сбора согласно приложению 2.</w:t>
      </w:r>
    </w:p>
    <w:p w:rsidR="00000000" w:rsidRDefault="00CB2818">
      <w:pPr>
        <w:pStyle w:val="point"/>
      </w:pPr>
      <w:r>
        <w:t>3. Документы, указанные в приложении 1, представляются в орган, осуществляющий государственную регистрацию транспортных средств, а в отношении</w:t>
      </w:r>
      <w:r>
        <w:t xml:space="preserve"> ввозимых (ввезенных) транспортных средств – также и в таможню.</w:t>
      </w:r>
    </w:p>
    <w:p w:rsidR="00000000" w:rsidRDefault="00CB2818">
      <w:pPr>
        <w:pStyle w:val="point"/>
      </w:pPr>
      <w:bookmarkStart w:id="2" w:name="a59"/>
      <w:bookmarkEnd w:id="2"/>
      <w:r>
        <w:t>3</w:t>
      </w:r>
      <w:r>
        <w:rPr>
          <w:vertAlign w:val="superscript"/>
        </w:rPr>
        <w:t>1</w:t>
      </w:r>
      <w:r>
        <w:t>. </w:t>
      </w:r>
      <w:proofErr w:type="gramStart"/>
      <w:r>
        <w:t>Для целей настоящего постановления критерием при определении ставки утилизационного сбора в отношении транспортных средств, ввозимых (ввезенных) с территории государств – членов Евразийско</w:t>
      </w:r>
      <w:r>
        <w:t xml:space="preserve">го экономического союза, с даты выпуска таможенным органом которых в иных государствах – членах Евразийского экономического союза до момента представления в Республике Беларусь документа, отражающего исчисление и уплату утилизационного сбора, прошло менее </w:t>
      </w:r>
      <w:r>
        <w:t>одного года, является заключение о независимой оценке транспортного средства</w:t>
      </w:r>
      <w:proofErr w:type="gramEnd"/>
      <w:r>
        <w:t>, выданное юридическим лицом, осуществляющим оценочную деятельность (далее – заключение о независимой оценке).</w:t>
      </w:r>
    </w:p>
    <w:p w:rsidR="00000000" w:rsidRDefault="00CB2818">
      <w:pPr>
        <w:pStyle w:val="newncpi"/>
      </w:pPr>
      <w:bookmarkStart w:id="3" w:name="a61"/>
      <w:bookmarkEnd w:id="3"/>
      <w:r>
        <w:t xml:space="preserve">В случае, если таможенная стоимость транспортных средств, заявленная </w:t>
      </w:r>
      <w:r>
        <w:t>в</w:t>
      </w:r>
      <w:r>
        <w:t> </w:t>
      </w:r>
      <w:r>
        <w:t>декларации на товары при их помещении под таможенную процедуру выпуска для внутреннего потребления, либо стоимость транспортных средств, заявленная в пассажирской таможенной</w:t>
      </w:r>
      <w:r>
        <w:t xml:space="preserve"> </w:t>
      </w:r>
      <w:r>
        <w:t>декларации при их выпуске в свободное обращение, меньше стоимости транспортных с</w:t>
      </w:r>
      <w:r>
        <w:t>редств, указанной в заключени</w:t>
      </w:r>
      <w:proofErr w:type="gramStart"/>
      <w:r>
        <w:t>и</w:t>
      </w:r>
      <w:proofErr w:type="gramEnd"/>
      <w:r>
        <w:t xml:space="preserve"> о независимой оценке, то сумма, на которую увеличивается ставка утилизационного сбора, определяется как разность таможенных пошлин, налогов, исчисленных:</w:t>
      </w:r>
    </w:p>
    <w:p w:rsidR="00000000" w:rsidRDefault="00CB2818">
      <w:pPr>
        <w:pStyle w:val="newncpi"/>
      </w:pPr>
      <w:proofErr w:type="gramStart"/>
      <w:r>
        <w:t>как если бы в отношении таких транспортных средств в Республике Беларус</w:t>
      </w:r>
      <w:r>
        <w:t>ь производился выпуск товаров для личного пользования в свободное обращение с использованием заключения о независимой оценке без применения возмещения уплаты таможенных пошлин, налогов и фактически уплаченных при таможенном декларировании в иных государств</w:t>
      </w:r>
      <w:r>
        <w:t>ах – членах Евразийского экономического союза, в случае, если транспортное средство указано в</w:t>
      </w:r>
      <w:r>
        <w:t> </w:t>
      </w:r>
      <w:r>
        <w:t>Решении Коллегии Евразийской экономической комиссии от 30</w:t>
      </w:r>
      <w:proofErr w:type="gramEnd"/>
      <w:r>
        <w:t> июня 2017 г. № 74 «Об отдельных вопросах, связанных с транспортными средствами для личного пользования»;</w:t>
      </w:r>
    </w:p>
    <w:p w:rsidR="00000000" w:rsidRDefault="00CB2818">
      <w:pPr>
        <w:pStyle w:val="newncpi"/>
      </w:pPr>
      <w:proofErr w:type="gramStart"/>
      <w:r>
        <w:t>как если бы такие транспортные средства помещались под таможенную процедуру выпуска для внутреннего потребления без применения тарифных преференций и льгот по уплате ввозных таможенных пошлин, налогов с использованием заключения о независимой оценке и фак</w:t>
      </w:r>
      <w:r>
        <w:t>тически уплаченных при таможенном декларировании в иных государствах – членах Евразийского экономического союза, в случае, если транспортное средство не указано в</w:t>
      </w:r>
      <w:r>
        <w:t> </w:t>
      </w:r>
      <w:r>
        <w:t>Решении Коллегии Евразийской экономической комиссии от 30</w:t>
      </w:r>
      <w:proofErr w:type="gramEnd"/>
      <w:r>
        <w:t> июня 2017 г. № 74 и при его выпуске</w:t>
      </w:r>
      <w:r>
        <w:t xml:space="preserve"> таможенным органом не применялась специфическая ставка ввозной таможенной пошлины.</w:t>
      </w:r>
    </w:p>
    <w:p w:rsidR="00000000" w:rsidRDefault="00CB2818">
      <w:pPr>
        <w:pStyle w:val="newncpi"/>
      </w:pPr>
      <w:r>
        <w:t>Для исчисления таможенных пошлин, налогов, указанных в части второй настоящего пункта, применяются ставки, действующие на день представления документа, отражающего исчислен</w:t>
      </w:r>
      <w:r>
        <w:t>ие и уплату утилизационного сбора.</w:t>
      </w:r>
    </w:p>
    <w:p w:rsidR="00000000" w:rsidRDefault="00CB2818">
      <w:pPr>
        <w:pStyle w:val="newncpi"/>
      </w:pPr>
      <w:r>
        <w:t>Отрицательное значение указанной разности таможенных пошлин, налогов признается равным нулю.</w:t>
      </w:r>
    </w:p>
    <w:p w:rsidR="00000000" w:rsidRDefault="00CB2818">
      <w:pPr>
        <w:pStyle w:val="newncpi"/>
      </w:pPr>
      <w:proofErr w:type="gramStart"/>
      <w:r>
        <w:t>Пересчет выраженной в иностранной валюте таможенной стоимости (стоимости) транспортных средств в белорусские рубли, а также пере</w:t>
      </w:r>
      <w:r>
        <w:t>счет фактически уплаченных при таможенном декларировании в иных государствах – членах Евразийского экономического союза таможенных пошлин, налогов в белорусские рубли производятся по официальному курсу белорусского рубля к иностранной валюте, установленном</w:t>
      </w:r>
      <w:r>
        <w:t>у Национальным банком и действующему на дату представления документа, отражающего исчисление и уплату утилизационного сбора.</w:t>
      </w:r>
      <w:proofErr w:type="gramEnd"/>
    </w:p>
    <w:p w:rsidR="00000000" w:rsidRDefault="00CB2818">
      <w:pPr>
        <w:pStyle w:val="newncpi"/>
      </w:pPr>
      <w:r>
        <w:lastRenderedPageBreak/>
        <w:t>Независимая оценка транспортного средства должна производиться исходя из рыночной стоимости аналогичных товаров в стране приобретен</w:t>
      </w:r>
      <w:r>
        <w:t>ия в целях их ввоза на территорию Евразийского экономического союза, по которой такие аналогичные товары продаются или предлагаются для продажи при обычных (рыночных) условиях торговли.</w:t>
      </w:r>
    </w:p>
    <w:p w:rsidR="00000000" w:rsidRDefault="00CB2818">
      <w:pPr>
        <w:pStyle w:val="newncpi"/>
      </w:pPr>
      <w:r>
        <w:t>Дата выдачи заключения о независимой оценке должна быть не </w:t>
      </w:r>
      <w:r>
        <w:t>позднее одного месяца до даты представления документа, отражающего исчисление и уплату утилизационного сбора.</w:t>
      </w:r>
    </w:p>
    <w:p w:rsidR="00000000" w:rsidRDefault="00CB2818">
      <w:pPr>
        <w:pStyle w:val="point"/>
      </w:pPr>
      <w:r>
        <w:t>3</w:t>
      </w:r>
      <w:r>
        <w:rPr>
          <w:vertAlign w:val="superscript"/>
        </w:rPr>
        <w:t>2</w:t>
      </w:r>
      <w:r>
        <w:t>. Положения пункта 3</w:t>
      </w:r>
      <w:r>
        <w:rPr>
          <w:vertAlign w:val="superscript"/>
        </w:rPr>
        <w:t>1</w:t>
      </w:r>
      <w:r>
        <w:t xml:space="preserve"> настоящего постановления не применяются в отношении ввозимых (ввезенных) с территории государств – членов Евразийского эко</w:t>
      </w:r>
      <w:r>
        <w:t>номического союза транспортных средств:</w:t>
      </w:r>
    </w:p>
    <w:p w:rsidR="00000000" w:rsidRDefault="00CB2818">
      <w:pPr>
        <w:pStyle w:val="newncpi"/>
      </w:pPr>
      <w:bookmarkStart w:id="4" w:name="a65"/>
      <w:bookmarkEnd w:id="4"/>
      <w:r>
        <w:t>если такие транспортные средства были зарегистрированы не менее одного года в государстве – члене Евразийского экономического союза в любой период до дня представления документа, отражающего исчисление и уплату утили</w:t>
      </w:r>
      <w:r>
        <w:t>зационного сбора;</w:t>
      </w:r>
    </w:p>
    <w:p w:rsidR="00000000" w:rsidRDefault="00CB2818">
      <w:pPr>
        <w:pStyle w:val="newncpi"/>
      </w:pPr>
      <w:bookmarkStart w:id="5" w:name="a66"/>
      <w:bookmarkEnd w:id="5"/>
      <w:r>
        <w:t>в случае</w:t>
      </w:r>
      <w:proofErr w:type="gramStart"/>
      <w:r>
        <w:t>,</w:t>
      </w:r>
      <w:proofErr w:type="gramEnd"/>
      <w:r>
        <w:t xml:space="preserve"> если продавец (поставщик) или покупатель таких транспортных средств, указанный во внешнеторговом договоре, является представителем изготовителя транспортных средств на территории Республики Беларусь, указанным в одобрении типа т</w:t>
      </w:r>
      <w:r>
        <w:t>ранспортного средства, и при этом плательщик утилизационного сбора является покупателем, указанным в таком внешнеторговом договоре.</w:t>
      </w:r>
    </w:p>
    <w:p w:rsidR="00000000" w:rsidRDefault="00CB2818">
      <w:pPr>
        <w:pStyle w:val="newncpi"/>
      </w:pPr>
      <w:r>
        <w:t>3</w:t>
      </w:r>
      <w:r>
        <w:rPr>
          <w:vertAlign w:val="superscript"/>
        </w:rPr>
        <w:t>3</w:t>
      </w:r>
      <w:r>
        <w:t xml:space="preserve">. Ставки утилизационного сбора, указанные в подпунктах 2.8 и 2.13 пункта 2 приложения 2, применяются в отношении ввозимых </w:t>
      </w:r>
      <w:r>
        <w:t>седельных тягачей экологических классов 5 и 6:</w:t>
      </w:r>
    </w:p>
    <w:p w:rsidR="00000000" w:rsidRDefault="00CB2818">
      <w:pPr>
        <w:pStyle w:val="newncpi"/>
      </w:pPr>
      <w:bookmarkStart w:id="6" w:name="a75"/>
      <w:bookmarkEnd w:id="6"/>
      <w:r>
        <w:t>в пределах</w:t>
      </w:r>
      <w:r>
        <w:t xml:space="preserve"> </w:t>
      </w:r>
      <w:r>
        <w:t>количества, определяемого в 2025 и 2026 годах Министерством транспорта и коммуникаций и Министерством промышленности, при условии согласования приобретения ввозимых транспортных средств Министерство</w:t>
      </w:r>
      <w:r>
        <w:t>м транспорта и коммуникаций в</w:t>
      </w:r>
      <w:r>
        <w:t> </w:t>
      </w:r>
      <w:r>
        <w:t>порядке, им установленном;</w:t>
      </w:r>
    </w:p>
    <w:p w:rsidR="00000000" w:rsidRDefault="00CB2818">
      <w:pPr>
        <w:pStyle w:val="newncpi"/>
      </w:pPr>
      <w:bookmarkStart w:id="7" w:name="a76"/>
      <w:bookmarkEnd w:id="7"/>
      <w:r>
        <w:t>свыше пределов количества, определяемого в 2025 и 2026 годах Министерством транспорта и коммуникаций и Министерством промышленности, при условии согласования приобретения ввозимых транспортных средст</w:t>
      </w:r>
      <w:r>
        <w:t>в Комиссией по вопросам промышленной политики в порядке, установленном</w:t>
      </w:r>
      <w:r>
        <w:t xml:space="preserve"> </w:t>
      </w:r>
      <w:r>
        <w:t>постановлением Совета Министров Республики Беларусь от 13 сентября 2024 г. № 675 «О порядке согласования приобретения транспортных средств».</w:t>
      </w:r>
    </w:p>
    <w:p w:rsidR="00000000" w:rsidRDefault="00CB2818">
      <w:pPr>
        <w:pStyle w:val="newncpi"/>
      </w:pPr>
      <w:bookmarkStart w:id="8" w:name="a77"/>
      <w:bookmarkEnd w:id="8"/>
      <w:r>
        <w:t>3</w:t>
      </w:r>
      <w:r>
        <w:rPr>
          <w:vertAlign w:val="superscript"/>
        </w:rPr>
        <w:t>4</w:t>
      </w:r>
      <w:r>
        <w:t xml:space="preserve">. Ставки утилизационного сбора, указанные </w:t>
      </w:r>
      <w:r>
        <w:t>в подпунктах 4.5 и 4.7 пункта 4 приложения 2, применяются при условии согласования приобретения ввозимых транспортных средств Комиссией по вопросам промышленной политики в порядке, установленном</w:t>
      </w:r>
      <w:r>
        <w:t xml:space="preserve"> </w:t>
      </w:r>
      <w:r>
        <w:t>постановлением Совета Министров Республики Беларусь от 13 сен</w:t>
      </w:r>
      <w:r>
        <w:t>тября 2024 г. № 675.</w:t>
      </w:r>
    </w:p>
    <w:p w:rsidR="00000000" w:rsidRDefault="00CB2818">
      <w:pPr>
        <w:pStyle w:val="point"/>
      </w:pPr>
      <w:bookmarkStart w:id="9" w:name="a25"/>
      <w:bookmarkEnd w:id="9"/>
      <w:r>
        <w:t>4. Пункты</w:t>
      </w:r>
      <w:r>
        <w:t xml:space="preserve"> </w:t>
      </w:r>
      <w:r>
        <w:t>1–3 постановления Совета Министров Республики Беларусь от 27 февраля 2014 г. № 172 «О мерах по реализации Указа Президента Республики Беларусь от 4 февраля 2014 г. № 64» исключить.</w:t>
      </w:r>
    </w:p>
    <w:p w:rsidR="00000000" w:rsidRDefault="00CB2818">
      <w:pPr>
        <w:pStyle w:val="point"/>
      </w:pPr>
      <w:r>
        <w:t>5. Настоящее постановление вступает в силу ч</w:t>
      </w:r>
      <w:r>
        <w:t>ерез 10 дней после его официального опубликования.</w:t>
      </w:r>
    </w:p>
    <w:p w:rsidR="00000000" w:rsidRDefault="00CB28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newncpi0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С.Румас</w:t>
            </w:r>
            <w:proofErr w:type="spellEnd"/>
          </w:p>
        </w:tc>
      </w:tr>
    </w:tbl>
    <w:p w:rsidR="00000000" w:rsidRDefault="00CB28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append1"/>
            </w:pPr>
            <w:bookmarkStart w:id="10" w:name="a4"/>
            <w:bookmarkEnd w:id="10"/>
            <w:r>
              <w:t>Приложение 1</w:t>
            </w:r>
          </w:p>
          <w:p w:rsidR="00000000" w:rsidRDefault="00CB2818">
            <w:pPr>
              <w:pStyle w:val="append"/>
            </w:pPr>
            <w:r>
              <w:t>к</w:t>
            </w:r>
            <w: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t xml:space="preserve">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00000" w:rsidRDefault="00CB2818">
            <w:pPr>
              <w:pStyle w:val="append"/>
            </w:pPr>
            <w:r>
              <w:t>01.07.2019 №</w:t>
            </w:r>
            <w:r>
              <w:t xml:space="preserve"> </w:t>
            </w:r>
            <w:r>
              <w:rPr>
                <w:rStyle w:val="HTML"/>
                <w:shd w:val="clear" w:color="auto" w:fill="FFFFFF"/>
              </w:rPr>
              <w:t>437</w:t>
            </w:r>
          </w:p>
        </w:tc>
      </w:tr>
    </w:tbl>
    <w:p w:rsidR="00000000" w:rsidRDefault="00CB2818">
      <w:pPr>
        <w:pStyle w:val="titlep"/>
      </w:pPr>
      <w:bookmarkStart w:id="11" w:name="a44"/>
      <w:bookmarkEnd w:id="11"/>
      <w:r>
        <w:t>ПЕРЕЧЕНЬ</w:t>
      </w:r>
      <w:r>
        <w:br/>
      </w:r>
      <w:r>
        <w:t>документов, подтверждающих освобождение транспортных средств, за исключением самоходных машин и (или) прицепов к ним, от утилизационного сбора</w:t>
      </w:r>
    </w:p>
    <w:p w:rsidR="00000000" w:rsidRDefault="00CB2818">
      <w:pPr>
        <w:pStyle w:val="point"/>
      </w:pPr>
      <w:r>
        <w:t>1. В соответствии с</w:t>
      </w:r>
      <w:r>
        <w:t xml:space="preserve"> </w:t>
      </w:r>
      <w:r>
        <w:t>подпунктом 1.1 пункта 1 статьи 302 Налогового кодекса Республики Беларусь (далее – Кодекс):</w:t>
      </w:r>
    </w:p>
    <w:p w:rsidR="00000000" w:rsidRDefault="00CB2818">
      <w:pPr>
        <w:pStyle w:val="underpoint"/>
      </w:pPr>
      <w:r>
        <w:t>1</w:t>
      </w:r>
      <w:r>
        <w:t>.1.</w:t>
      </w:r>
      <w:r>
        <w:t> </w:t>
      </w:r>
      <w:r>
        <w:t>удостоверение о регистрации иностранной безвозмездной помощи в соответствии с законодательными актами, выдаваемое Департаментом по гуманитарной деятельности Управления делами Президента Республики Беларусь по форме, установленной Управлением делами Пре</w:t>
      </w:r>
      <w:r>
        <w:t>зидента Республики Беларусь;</w:t>
      </w:r>
    </w:p>
    <w:p w:rsidR="00000000" w:rsidRDefault="00CB2818">
      <w:pPr>
        <w:pStyle w:val="underpoint"/>
      </w:pPr>
      <w:r>
        <w:t>1.2. выписка из решения Комиссии по вопросам международного технического сотрудничества при Совете Министров Республики Беларусь и один экземпляр перечня товаров (имущества, в том числе денежных средств), работ и услуг со штамп</w:t>
      </w:r>
      <w:r>
        <w:t>ом Министерства экономики и подписью секретаря названной Комиссии, если иной документ не установлен актами Президента Республики Беларусь;</w:t>
      </w:r>
    </w:p>
    <w:p w:rsidR="00000000" w:rsidRDefault="00CB2818">
      <w:pPr>
        <w:pStyle w:val="underpoint"/>
      </w:pPr>
      <w:r>
        <w:t>1.3. заключение государственного учреждения «Национальный олимпийский стадион «Динамо» о предназначении ввозимых това</w:t>
      </w:r>
      <w:r>
        <w:t>ров для проектирования, строительства, оснащения, гарантийного обслуживания Национального футбольного стадиона;</w:t>
      </w:r>
    </w:p>
    <w:p w:rsidR="00000000" w:rsidRDefault="00CB2818">
      <w:pPr>
        <w:pStyle w:val="underpoint"/>
      </w:pPr>
      <w:r>
        <w:t>1.4. заключение учреждения «Республиканский центр олимпийской подготовки по водным видам спорта» о предназначении ввозимых товаров для проектиро</w:t>
      </w:r>
      <w:r>
        <w:t>вания, строительства, оснащения, гарантийного обслуживания бассейна международного стандарта.</w:t>
      </w:r>
    </w:p>
    <w:p w:rsidR="00000000" w:rsidRDefault="00CB2818">
      <w:pPr>
        <w:pStyle w:val="point"/>
      </w:pPr>
      <w:r>
        <w:t>2. В соответствии с</w:t>
      </w:r>
      <w:r>
        <w:t xml:space="preserve"> </w:t>
      </w:r>
      <w:r>
        <w:t>подпунктом 1.2 пункта 1 статьи 302 Кодекса:</w:t>
      </w:r>
    </w:p>
    <w:p w:rsidR="00000000" w:rsidRDefault="00CB2818">
      <w:pPr>
        <w:pStyle w:val="underpoint"/>
      </w:pPr>
      <w:proofErr w:type="gramStart"/>
      <w:r>
        <w:t>2.1. заявка на регистрацию транспортного средства, выдаваемая службой государственного протокола М</w:t>
      </w:r>
      <w:r>
        <w:t xml:space="preserve">инистерства иностранных дел в отношении транспортных средств, ввозимых (ввезенных) в Республику Беларусь и предназначенных для официального пользования дипломатическими представительствами, консульскими учреждениями, иными официальными представительствами </w:t>
      </w:r>
      <w:r>
        <w:t>иностранных государств, международными организациями и межгосударственными образованиями, их представительствами и органами;</w:t>
      </w:r>
      <w:proofErr w:type="gramEnd"/>
    </w:p>
    <w:p w:rsidR="00000000" w:rsidRDefault="00CB2818">
      <w:pPr>
        <w:pStyle w:val="underpoint"/>
      </w:pPr>
      <w:proofErr w:type="gramStart"/>
      <w:r>
        <w:t xml:space="preserve">2.2. дипломатическая, консульская, служебная, </w:t>
      </w:r>
      <w:proofErr w:type="spellStart"/>
      <w:r>
        <w:t>аккредитационная</w:t>
      </w:r>
      <w:proofErr w:type="spellEnd"/>
      <w:r>
        <w:t xml:space="preserve"> карточка в отношении транспортных средств, ввозимых (ввезенных) в Ре</w:t>
      </w:r>
      <w:r>
        <w:t>спублику Беларусь и предназначенных для личного пользования сотрудниками дипломатических представительств, консульских учреждений, иных официальных представительств иностранных государств, международных организаций и межгосударственных образований, их пред</w:t>
      </w:r>
      <w:r>
        <w:t>ставительств и органов, членами их семей, если они не проживают в Республике Беларусь постоянно и не являются гражданами Республики Беларусь.</w:t>
      </w:r>
      <w:proofErr w:type="gramEnd"/>
    </w:p>
    <w:p w:rsidR="00000000" w:rsidRDefault="00CB2818">
      <w:pPr>
        <w:pStyle w:val="point"/>
      </w:pPr>
      <w:r>
        <w:t>3. </w:t>
      </w:r>
      <w:proofErr w:type="gramStart"/>
      <w:r>
        <w:t>В соответствии с</w:t>
      </w:r>
      <w:r>
        <w:t xml:space="preserve"> </w:t>
      </w:r>
      <w:r>
        <w:t>подпунктом 1.3 пункта 1 статьи 302 Кодекса – документ производителя (изготовителя), подтвержда</w:t>
      </w:r>
      <w:r>
        <w:t xml:space="preserve">ющего производство транспортного средства на территории Республики Беларусь, содержащий наименование производителя (изготовителя) транспортного средства, </w:t>
      </w:r>
      <w:r>
        <w:lastRenderedPageBreak/>
        <w:t>включенного в</w:t>
      </w:r>
      <w:r>
        <w:t xml:space="preserve"> </w:t>
      </w:r>
      <w:r>
        <w:t>реестр организаций, производящих (изготавливающих) транспортные средства, принявших обяз</w:t>
      </w:r>
      <w:r>
        <w:t>ательство обеспечить последующее безопасное обращение с отходами, образовавшимися в результате утраты транспортными средствами своих потребительских свойств, – для организаций, принявших обязательство обеспечить последующее безопасное обращение</w:t>
      </w:r>
      <w:proofErr w:type="gramEnd"/>
      <w:r>
        <w:t xml:space="preserve"> с отходами,</w:t>
      </w:r>
      <w:r>
        <w:t xml:space="preserve"> образовавшимися в результате утраты транспортными средствами своих потребительских свойств, в соответствии с Положением о порядке и условиях принятия обязательства обеспечить последующее безопасное обращение с отходами, образовавшимися в результате утраты</w:t>
      </w:r>
      <w:r>
        <w:t xml:space="preserve"> транспортными средствами своих потребительских свойств, утвержденным настоящим постановлением, а также лиц, которым произведено отчуждение транспортных средств данными организациями.</w:t>
      </w:r>
    </w:p>
    <w:p w:rsidR="00000000" w:rsidRDefault="00CB2818">
      <w:pPr>
        <w:pStyle w:val="point"/>
      </w:pPr>
      <w:r>
        <w:t>4. В соответствии с</w:t>
      </w:r>
      <w:r>
        <w:t xml:space="preserve"> </w:t>
      </w:r>
      <w:r>
        <w:t>подпунктом 1.4 пункта 1 статьи 302 Кодекса – заверен</w:t>
      </w:r>
      <w:r>
        <w:t>ная копия</w:t>
      </w:r>
      <w:r>
        <w:t xml:space="preserve"> </w:t>
      </w:r>
      <w:r>
        <w:t>декларации на товары, в соответствии с которой транспортное средство было помещено под таможенную процедуру отказа в пользу государства.</w:t>
      </w:r>
    </w:p>
    <w:p w:rsidR="00000000" w:rsidRDefault="00CB2818">
      <w:pPr>
        <w:pStyle w:val="point"/>
      </w:pPr>
      <w:r>
        <w:t>5. В соответствии с</w:t>
      </w:r>
      <w:r>
        <w:t xml:space="preserve"> </w:t>
      </w:r>
      <w:r>
        <w:t>подпунктом 1.5 пункта 1 статьи 302 Кодекса – заверенная копия решения компетентного орган</w:t>
      </w:r>
      <w:r>
        <w:t>а об обращении транспортного средства в собственность (доход) государства.</w:t>
      </w:r>
    </w:p>
    <w:p w:rsidR="00000000" w:rsidRDefault="00CB2818">
      <w:pPr>
        <w:pStyle w:val="point"/>
      </w:pPr>
      <w:r>
        <w:t>6. В соответствии с</w:t>
      </w:r>
      <w:r>
        <w:t xml:space="preserve"> </w:t>
      </w:r>
      <w:r>
        <w:t>подпунктом 1.6 пункта 1 статьи 302 Кодекса – заверенная копия решения суда об обращении взыскания на транспортное средство в целях погашения неуплаченных таможен</w:t>
      </w:r>
      <w:r>
        <w:t>ных платежей, специальных, антидемпинговых, компенсационных пошлин, пеней и (или) процентов, иных платежей, взимание которых возложено на таможенные органы.</w:t>
      </w:r>
    </w:p>
    <w:p w:rsidR="00000000" w:rsidRDefault="00CB2818">
      <w:pPr>
        <w:pStyle w:val="point"/>
      </w:pPr>
      <w:r>
        <w:t>7. В соответствии с</w:t>
      </w:r>
      <w:r>
        <w:t xml:space="preserve"> </w:t>
      </w:r>
      <w:r>
        <w:t>подпунктом 1.7 пункта 1 статьи 302 Кодекса:</w:t>
      </w:r>
    </w:p>
    <w:p w:rsidR="00000000" w:rsidRDefault="00CB2818">
      <w:pPr>
        <w:pStyle w:val="underpoint"/>
      </w:pPr>
      <w:r>
        <w:t>7.1. </w:t>
      </w:r>
      <w:r>
        <w:t>по транспортным средствам, в отношении которых взимание утилизационного сбора осуществляется налоговыми органами, – копия договора между покупателем (заказчиком), определенным в</w:t>
      </w:r>
      <w:r>
        <w:t xml:space="preserve"> </w:t>
      </w:r>
      <w:r>
        <w:t>подпункте 1.7 пункта 1 статьи 302 Кодекса, и производителем (изготовителем), о</w:t>
      </w:r>
      <w:r>
        <w:t>пределенным в</w:t>
      </w:r>
      <w:r>
        <w:t xml:space="preserve"> </w:t>
      </w:r>
      <w:r>
        <w:t>части первой статьи 300 Кодекса, с предъявлением его оригинала;</w:t>
      </w:r>
    </w:p>
    <w:p w:rsidR="00000000" w:rsidRDefault="00CB2818">
      <w:pPr>
        <w:pStyle w:val="underpoint"/>
      </w:pPr>
      <w:r>
        <w:t xml:space="preserve">7.2. по транспортным средствам, в отношении которых взимание утилизационного сбора осуществляется таможенными органами, – подтверждение целевого назначения транспортных средств, </w:t>
      </w:r>
      <w:r>
        <w:t>выданное в соответствии с компетенцией государственными органами системы обеспечения безопасности Республики Беларусь* и содержащее сведения об их наименовании, количестве, стоимости и идентификационных номерах, подписанное руководителем (заместителем руко</w:t>
      </w:r>
      <w:r>
        <w:t>водителя) и заверенное гербовой печатью.</w:t>
      </w:r>
    </w:p>
    <w:p w:rsidR="00000000" w:rsidRDefault="00CB2818">
      <w:pPr>
        <w:pStyle w:val="snoskiline"/>
      </w:pPr>
      <w:r>
        <w:t>______________________________</w:t>
      </w:r>
    </w:p>
    <w:p w:rsidR="00000000" w:rsidRDefault="00CB2818">
      <w:pPr>
        <w:pStyle w:val="snoski"/>
        <w:spacing w:after="240" w:afterAutospacing="0"/>
      </w:pPr>
      <w:bookmarkStart w:id="12" w:name="a7"/>
      <w:bookmarkEnd w:id="12"/>
      <w:proofErr w:type="gramStart"/>
      <w:r>
        <w:t>* Для целей настоящего перечня под государственными органами системы обеспечения безопасности Республики Беларусь понимаются Оперативно-аналитический центр при Президенте Республики Бе</w:t>
      </w:r>
      <w:r>
        <w:t>ларусь, Служба безопасности Президента Республики Беларусь, Министерство внутренних дел, Министерство обороны, Министерство по чрезвычайным ситуациям, Комитет государственной безопасности, Государственный комитет судебных экспертиз, Государственный пограни</w:t>
      </w:r>
      <w:r>
        <w:t>чный комитет, Государственный таможенный комитет, Следственный комитет, Департамент финансовых расследований Комитета государственного контроля.</w:t>
      </w:r>
      <w:proofErr w:type="gramEnd"/>
    </w:p>
    <w:p w:rsidR="00000000" w:rsidRDefault="00CB2818">
      <w:pPr>
        <w:pStyle w:val="point"/>
      </w:pPr>
      <w:r>
        <w:t>8. В соответствии с</w:t>
      </w:r>
      <w:r>
        <w:t xml:space="preserve"> </w:t>
      </w:r>
      <w:r>
        <w:t xml:space="preserve">подпунктом 1.8 пункта 1 статьи 302 Кодекса – заверенная копия протокола задержания товаров </w:t>
      </w:r>
      <w:r>
        <w:t>и документов на них.</w:t>
      </w:r>
    </w:p>
    <w:p w:rsidR="00000000" w:rsidRDefault="00CB281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3276"/>
      </w:tblGrid>
      <w:tr w:rsidR="0000000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append1"/>
            </w:pPr>
            <w:bookmarkStart w:id="13" w:name="a71"/>
            <w:bookmarkEnd w:id="13"/>
            <w:r>
              <w:t>Приложение 2</w:t>
            </w:r>
          </w:p>
          <w:p w:rsidR="00000000" w:rsidRDefault="00CB2818">
            <w:pPr>
              <w:pStyle w:val="append"/>
            </w:pPr>
            <w:r>
              <w:t>к</w:t>
            </w:r>
            <w: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01.07.2019 №</w:t>
            </w:r>
            <w:r>
              <w:t> </w:t>
            </w:r>
            <w:r>
              <w:rPr>
                <w:rStyle w:val="HTML"/>
                <w:shd w:val="clear" w:color="auto" w:fill="FFFFFF"/>
              </w:rPr>
              <w:t>437</w:t>
            </w:r>
            <w:r>
              <w:br/>
              <w:t>(в редакции</w:t>
            </w:r>
            <w: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28.01.2025 № 50) </w:t>
            </w:r>
          </w:p>
        </w:tc>
      </w:tr>
    </w:tbl>
    <w:p w:rsidR="00000000" w:rsidRDefault="00CB2818">
      <w:pPr>
        <w:pStyle w:val="titlep"/>
      </w:pPr>
      <w:bookmarkStart w:id="14" w:name="a72"/>
      <w:bookmarkEnd w:id="14"/>
      <w:r>
        <w:t>ПЕРЕЧЕНЬ</w:t>
      </w:r>
      <w:r>
        <w:br/>
        <w:t>видов и категорий транспортных средств, за исключение</w:t>
      </w:r>
      <w:r>
        <w:t>м самоходных машин и (или) прицепов к ним, являющихся объектами обложения утилизационным сбором, а также ставок утилизационного сбора</w:t>
      </w:r>
    </w:p>
    <w:p w:rsidR="00000000" w:rsidRDefault="00CB2818">
      <w:pPr>
        <w:pStyle w:val="edizmeren"/>
      </w:pPr>
      <w:r>
        <w:t>(рублей)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1"/>
        <w:gridCol w:w="1858"/>
        <w:gridCol w:w="1563"/>
      </w:tblGrid>
      <w:tr w:rsidR="00000000">
        <w:trPr>
          <w:trHeight w:val="238"/>
        </w:trPr>
        <w:tc>
          <w:tcPr>
            <w:tcW w:w="34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B2818">
            <w:pPr>
              <w:pStyle w:val="table10"/>
              <w:jc w:val="center"/>
            </w:pPr>
            <w:r>
              <w:t>Виды и категории транспортных средств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B2818">
            <w:pPr>
              <w:pStyle w:val="table10"/>
              <w:jc w:val="center"/>
            </w:pPr>
            <w:r>
              <w:t>Ставки утилизационного сбора в отношении транспортных средств, с </w:t>
            </w:r>
            <w:r>
              <w:t>даты выпуска которых прошло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2818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B2818">
            <w:pPr>
              <w:pStyle w:val="table10"/>
              <w:jc w:val="center"/>
            </w:pPr>
            <w:r>
              <w:t>до трех лет включительно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B2818">
            <w:pPr>
              <w:pStyle w:val="table10"/>
              <w:jc w:val="center"/>
            </w:pPr>
            <w:r>
              <w:t>более трех лет</w:t>
            </w:r>
          </w:p>
        </w:tc>
      </w:tr>
      <w:tr w:rsidR="00000000">
        <w:trPr>
          <w:trHeight w:val="238"/>
        </w:trPr>
        <w:tc>
          <w:tcPr>
            <w:tcW w:w="34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</w:pPr>
            <w:r>
              <w:t xml:space="preserve">1. Транспортные средства категории </w:t>
            </w:r>
            <w:proofErr w:type="spellStart"/>
            <w:r>
              <w:t>M</w:t>
            </w:r>
            <w:r>
              <w:rPr>
                <w:vertAlign w:val="subscript"/>
              </w:rPr>
              <w:t>l</w:t>
            </w:r>
            <w:proofErr w:type="spellEnd"/>
            <w:r>
              <w:t xml:space="preserve">, в том числе повышенной проходимости категории </w:t>
            </w:r>
            <w:proofErr w:type="spellStart"/>
            <w:r>
              <w:t>M</w:t>
            </w:r>
            <w:r>
              <w:rPr>
                <w:vertAlign w:val="subscript"/>
              </w:rPr>
              <w:t>l</w:t>
            </w:r>
            <w:r>
              <w:t>G</w:t>
            </w:r>
            <w:proofErr w:type="spellEnd"/>
            <w:r>
              <w:t>, а также специальные и специализированные транспортные средства указанной категории:</w:t>
            </w:r>
          </w:p>
        </w:tc>
        <w:tc>
          <w:tcPr>
            <w:tcW w:w="8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  <w:tc>
          <w:tcPr>
            <w:tcW w:w="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>1.1. с электродвигателями, за исключением транспортных средств, оснащенных различными типами гибридных силовых установок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1 148,86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2 757,36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>1.2. с рабочим объемом двигателя не более 1000 куб. см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6 365,57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16 249,5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>1.3. с </w:t>
            </w:r>
            <w:r>
              <w:t xml:space="preserve">рабочим объемом двигателя свыше 1000 куб. см, но не более 2000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23 575,91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41 471,55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1.4. с рабочим объемом двигателя свыше 2000 куб. см, но не более 3000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66 248,51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100 301,81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>1.5. с рабочим объемом двигателя свыше 3000 куб. </w:t>
            </w:r>
            <w:r>
              <w:t xml:space="preserve">см, но не более 3500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76 068,86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116 459,46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1.6. с рабочим объемом двигателя свыше 3500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96 868,22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127 339,56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15" w:name="a78"/>
            <w:bookmarkEnd w:id="15"/>
            <w:proofErr w:type="gramStart"/>
            <w:r>
              <w:t>1.7. ввозимые (ввезенные) физическими лицами для личного пользования</w:t>
            </w:r>
            <w:proofErr w:type="gramEnd"/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544,5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1 089,0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</w:pPr>
            <w:r>
              <w:t>2. Транспортные средства категорий N</w:t>
            </w:r>
            <w:r>
              <w:rPr>
                <w:vertAlign w:val="subscript"/>
              </w:rPr>
              <w:t>1</w:t>
            </w:r>
            <w:r>
              <w:t>, N</w:t>
            </w:r>
            <w:r>
              <w:rPr>
                <w:vertAlign w:val="subscript"/>
              </w:rPr>
              <w:t>2</w:t>
            </w:r>
            <w:r>
              <w:t>, N</w:t>
            </w:r>
            <w:r>
              <w:rPr>
                <w:vertAlign w:val="subscript"/>
              </w:rPr>
              <w:t>3</w:t>
            </w:r>
            <w:r>
              <w:t>, в том числе повышенной проходимости категорий N</w:t>
            </w:r>
            <w:r>
              <w:rPr>
                <w:vertAlign w:val="subscript"/>
              </w:rPr>
              <w:t>1</w:t>
            </w:r>
            <w:r>
              <w:t>G, N</w:t>
            </w:r>
            <w:r>
              <w:rPr>
                <w:vertAlign w:val="subscript"/>
              </w:rPr>
              <w:t>2</w:t>
            </w:r>
            <w:r>
              <w:t>G, N</w:t>
            </w:r>
            <w:r>
              <w:rPr>
                <w:vertAlign w:val="subscript"/>
              </w:rPr>
              <w:t>3</w:t>
            </w:r>
            <w:r>
              <w:t>G, а также специализированные транспортные средства указанных категорий: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>2.1. транспортные средства технически допустимой максимальной массо</w:t>
            </w:r>
            <w:r>
              <w:t xml:space="preserve">й не более 2,5 тонны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29 514,04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42 919,88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2.2. транспортные средства технически допустимой максимальной массой свыше 2,5 тонны, но не более 3,5 тонны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31 792,5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46 258,09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2.3. транспортные средства технически допустимой максимальной </w:t>
            </w:r>
            <w:r>
              <w:lastRenderedPageBreak/>
              <w:t xml:space="preserve">массой свыше 3,5 тонны, но не более 5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lastRenderedPageBreak/>
              <w:t>33 276,15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49 543,31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lastRenderedPageBreak/>
              <w:t xml:space="preserve">2.4. транспортные средства технически допустимой максимальной массой свыше 5 тонн, но не более 8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34 706,81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79 269,3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2.5. транспортные средства технически допустимой максимальной массой свыше 8 тонн, но не более 12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49 172,4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133 952,4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2.6. транспортные средства технически допустимой максимальной массой свыше 12 тонн, но не более 20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55 795,84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194</w:t>
            </w:r>
            <w:r>
              <w:t> 888,03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16" w:name="a73"/>
            <w:bookmarkEnd w:id="16"/>
            <w:r>
              <w:t>2.7. седельные тягачи технически допустимой максимальной массой свыше 12 тонн, но не более 20 тонн, за исключением указанных в подпункте 2.8 настоящего пункта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95 536,46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389 617,09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17" w:name="a67"/>
            <w:bookmarkEnd w:id="17"/>
            <w:r>
              <w:t>2.8. седельные тягачи технически допустимой максимальной массой свыше 12 тонн, но не более 20 тонн экологических классов 5 и 6</w:t>
            </w:r>
            <w:r>
              <w:rPr>
                <w:vertAlign w:val="superscript"/>
              </w:rPr>
              <w:t>3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30 043,91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122 560,09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2.9. автосамосвалы технически допустимой максимальной массой свыше 12 тонн, но не более 20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46</w:t>
            </w:r>
            <w:r>
              <w:t> 946,93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194 888,03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2.10. автомобили-фургоны, включая рефрижераторы, технически допустимой максимальной массой свыше 12 тонн, но не более 20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56 961,56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194 888,03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2.11. транспортные средства технически допустимой максимальной массой свыше 20 тонн, но не более 50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151 915,16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320 044,5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18" w:name="a74"/>
            <w:bookmarkEnd w:id="18"/>
            <w:r>
              <w:t>2.12. седельные тягачи технически допустимой максимальной массой свыше 20 тонн, но не более 50 тонн, за исключением указан</w:t>
            </w:r>
            <w:r>
              <w:t xml:space="preserve">ных в подпункте 2.13 настоящего пункта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112 545,45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228 588,08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19" w:name="a68"/>
            <w:bookmarkEnd w:id="19"/>
            <w:r>
              <w:t>2.13. седельные тягачи технически допустимой максимальной массой свыше 20 тонн, но не более 50 тонн экологических классов 5 и 6</w:t>
            </w:r>
            <w:r>
              <w:rPr>
                <w:vertAlign w:val="superscript"/>
              </w:rPr>
              <w:t>3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35 395,65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71 904,04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2.14. автосамосвалы технически допустимой максимальной массой свыше 20 тонн, но не более 50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143 384,18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320 044,5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2.15. автомобили-фургоны, включая рефрижераторы, технически допустимой максимальной массой свыше 20 тонн, но не более 50 тонн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92</w:t>
            </w:r>
            <w:r>
              <w:t> 622,15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228 588,08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</w:pPr>
            <w:r>
              <w:t>3. Специальные транспортные средства категорий M</w:t>
            </w:r>
            <w:r>
              <w:rPr>
                <w:vertAlign w:val="subscript"/>
              </w:rPr>
              <w:t>2</w:t>
            </w:r>
            <w:r>
              <w:t>, M</w:t>
            </w:r>
            <w:r>
              <w:rPr>
                <w:vertAlign w:val="subscript"/>
              </w:rPr>
              <w:t>3</w:t>
            </w:r>
            <w:r>
              <w:t>, N</w:t>
            </w:r>
            <w:r>
              <w:rPr>
                <w:vertAlign w:val="subscript"/>
              </w:rPr>
              <w:t>1</w:t>
            </w:r>
            <w:r>
              <w:t>, N</w:t>
            </w:r>
            <w:r>
              <w:rPr>
                <w:vertAlign w:val="subscript"/>
              </w:rPr>
              <w:t>2</w:t>
            </w:r>
            <w:r>
              <w:t xml:space="preserve"> и N</w:t>
            </w:r>
            <w:r>
              <w:rPr>
                <w:vertAlign w:val="subscript"/>
              </w:rPr>
              <w:t>3</w:t>
            </w:r>
            <w:r>
              <w:t>, в том числе повышенной проходимости категорий M</w:t>
            </w:r>
            <w:r>
              <w:rPr>
                <w:vertAlign w:val="subscript"/>
              </w:rPr>
              <w:t>2</w:t>
            </w:r>
            <w:r>
              <w:t>G, M</w:t>
            </w:r>
            <w:r>
              <w:rPr>
                <w:vertAlign w:val="subscript"/>
              </w:rPr>
              <w:t>3</w:t>
            </w:r>
            <w:r>
              <w:t>G, N</w:t>
            </w:r>
            <w:r>
              <w:rPr>
                <w:vertAlign w:val="subscript"/>
              </w:rPr>
              <w:t>1</w:t>
            </w:r>
            <w:r>
              <w:t>G, N</w:t>
            </w:r>
            <w:r>
              <w:rPr>
                <w:vertAlign w:val="subscript"/>
              </w:rPr>
              <w:t>2</w:t>
            </w:r>
            <w:r>
              <w:t>G и N</w:t>
            </w:r>
            <w:r>
              <w:rPr>
                <w:vertAlign w:val="subscript"/>
              </w:rPr>
              <w:t>3</w:t>
            </w:r>
            <w:r>
              <w:t xml:space="preserve">G: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3.1. специальные транспортные средства, кроме </w:t>
            </w:r>
            <w:proofErr w:type="spellStart"/>
            <w:r>
              <w:t>автобетоносмесителей</w:t>
            </w:r>
            <w:proofErr w:type="spellEnd"/>
            <w:r>
              <w:t xml:space="preserve">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32 004,45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193 722,3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3.2. </w:t>
            </w:r>
            <w:proofErr w:type="spellStart"/>
            <w:r>
              <w:t>автобетоносмесители</w:t>
            </w:r>
            <w:proofErr w:type="spellEnd"/>
            <w:r>
              <w:t xml:space="preserve">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95 801,4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251 902,58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</w:pPr>
            <w:r>
              <w:t>4. Транспортные средства категорий M</w:t>
            </w:r>
            <w:r>
              <w:rPr>
                <w:vertAlign w:val="subscript"/>
              </w:rPr>
              <w:t>2</w:t>
            </w:r>
            <w:r>
              <w:t xml:space="preserve"> и M</w:t>
            </w:r>
            <w:r>
              <w:rPr>
                <w:vertAlign w:val="subscript"/>
              </w:rPr>
              <w:t>3</w:t>
            </w:r>
            <w:r>
              <w:t>, в том числе повышенной проходимости категорий M</w:t>
            </w:r>
            <w:r>
              <w:rPr>
                <w:vertAlign w:val="subscript"/>
              </w:rPr>
              <w:t>2</w:t>
            </w:r>
            <w:r>
              <w:t>G и M</w:t>
            </w:r>
            <w:r>
              <w:rPr>
                <w:vertAlign w:val="subscript"/>
              </w:rPr>
              <w:t>3</w:t>
            </w:r>
            <w:r>
              <w:t xml:space="preserve">G, а также специализированные транспортные средства указанных категорий: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4.1. с электродвигателями, за исключением транспортных средств, оснащенных гибридными силовыми установками любого типа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99 086,63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99 987,41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4.2. с объемом двигателя не более 2500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31 103,66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31 527,56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>4.3. с </w:t>
            </w:r>
            <w:r>
              <w:t xml:space="preserve">объемом двигателя свыше 2500 куб. см, но не более 5000 </w:t>
            </w:r>
            <w:r>
              <w:lastRenderedPageBreak/>
              <w:t xml:space="preserve">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lastRenderedPageBreak/>
              <w:t>109 472,18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165 797,89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lastRenderedPageBreak/>
              <w:t xml:space="preserve">4.4. с объемом двигателя свыше 5000 куб. см, но не более 10 000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122 295,15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156 948,98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20" w:name="a69"/>
            <w:bookmarkEnd w:id="20"/>
            <w:r>
              <w:t>4.5. с объемом двигателя свыше 5000 куб. см, но не более 10 </w:t>
            </w:r>
            <w:r>
              <w:t>000 куб. см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65 386,58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83 932,2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4.6. с объемом двигателя свыше 10 000 куб. см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141 370,65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222 547,5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bookmarkStart w:id="21" w:name="a70"/>
            <w:bookmarkEnd w:id="21"/>
            <w:r>
              <w:t>4.7. с объемом двигателя свыше 10 000 куб. см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75 613,16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119 009,93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</w:pPr>
            <w:r>
              <w:t>5. Прицепы категории O</w:t>
            </w:r>
            <w:r>
              <w:rPr>
                <w:vertAlign w:val="subscript"/>
              </w:rPr>
              <w:t>4</w:t>
            </w:r>
            <w:r>
              <w:t>, в том числе специальные и </w:t>
            </w:r>
            <w:r>
              <w:t>специализированные транспортные средства указанной категории: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 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5.1. полные прицепы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47 052,9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158 803,54</w:t>
            </w:r>
          </w:p>
        </w:tc>
      </w:tr>
      <w:tr w:rsidR="00000000">
        <w:trPr>
          <w:trHeight w:val="238"/>
        </w:trPr>
        <w:tc>
          <w:tcPr>
            <w:tcW w:w="3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5.2. полуприцепы </w:t>
            </w:r>
          </w:p>
        </w:tc>
        <w:tc>
          <w:tcPr>
            <w:tcW w:w="8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47 052,9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158 803,54</w:t>
            </w:r>
          </w:p>
        </w:tc>
      </w:tr>
      <w:tr w:rsidR="00000000">
        <w:trPr>
          <w:trHeight w:val="238"/>
        </w:trPr>
        <w:tc>
          <w:tcPr>
            <w:tcW w:w="34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table10"/>
              <w:spacing w:before="120" w:beforeAutospacing="0"/>
              <w:ind w:left="284"/>
            </w:pPr>
            <w:r>
              <w:t xml:space="preserve">5.3. прицепы с центральной осью 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47 052,9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B2818">
            <w:pPr>
              <w:pStyle w:val="table10"/>
              <w:spacing w:before="120" w:beforeAutospacing="0"/>
              <w:jc w:val="right"/>
            </w:pPr>
            <w:r>
              <w:t>158 803,54</w:t>
            </w:r>
          </w:p>
        </w:tc>
      </w:tr>
    </w:tbl>
    <w:p w:rsidR="00000000" w:rsidRDefault="00CB2818">
      <w:pPr>
        <w:pStyle w:val="newncpi"/>
      </w:pPr>
      <w:r>
        <w:t> </w:t>
      </w:r>
    </w:p>
    <w:p w:rsidR="00000000" w:rsidRDefault="00CB2818">
      <w:pPr>
        <w:pStyle w:val="snoskiline"/>
      </w:pPr>
      <w:r>
        <w:t>______________________________</w:t>
      </w:r>
    </w:p>
    <w:p w:rsidR="00000000" w:rsidRDefault="00CB2818">
      <w:pPr>
        <w:pStyle w:val="snoski"/>
      </w:pPr>
      <w:bookmarkStart w:id="22" w:name="a48"/>
      <w:bookmarkEnd w:id="22"/>
      <w:r>
        <w:rPr>
          <w:vertAlign w:val="superscript"/>
        </w:rPr>
        <w:t>1</w:t>
      </w:r>
      <w:r>
        <w:t xml:space="preserve"> Категории транспортных средств соответствуют классификации, предусмотренной техническим</w:t>
      </w:r>
      <w:r>
        <w:t xml:space="preserve"> </w:t>
      </w:r>
      <w:r>
        <w:t>регламентом Таможенного союза «О безопасности колесных транспортных средств» (</w:t>
      </w:r>
      <w:proofErr w:type="gramStart"/>
      <w:r>
        <w:t>ТР</w:t>
      </w:r>
      <w:proofErr w:type="gramEnd"/>
      <w:r>
        <w:t xml:space="preserve"> ТС 018/2011), принятым Решением Комиссии Таможенного союза от 9 декабря 2011 г. № 877.</w:t>
      </w:r>
    </w:p>
    <w:p w:rsidR="00000000" w:rsidRDefault="00CB2818">
      <w:pPr>
        <w:pStyle w:val="snoski"/>
      </w:pPr>
      <w:r>
        <w:t>Используемый в описании отдельных видов и категорий транспортных средств термин «технически допустимая максимальная масса» применяется в значении, установленном техническим</w:t>
      </w:r>
      <w:r>
        <w:t xml:space="preserve"> </w:t>
      </w:r>
      <w:r>
        <w:t>регламентом Таможенного союза «О безопасности колесных транспортных средств» (</w:t>
      </w:r>
      <w:proofErr w:type="gramStart"/>
      <w:r>
        <w:t>ТР</w:t>
      </w:r>
      <w:proofErr w:type="gramEnd"/>
      <w:r>
        <w:t xml:space="preserve"> Т</w:t>
      </w:r>
      <w:r>
        <w:t>С 018/2011).</w:t>
      </w:r>
    </w:p>
    <w:p w:rsidR="00000000" w:rsidRDefault="00CB2818">
      <w:pPr>
        <w:pStyle w:val="snoski"/>
      </w:pPr>
      <w:bookmarkStart w:id="23" w:name="a53"/>
      <w:bookmarkEnd w:id="23"/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 xml:space="preserve"> отношении транспортных средств, ввозимых (ввезенных) с территории государств – членов Евразийского экономического союза, с даты выпуска таможенным органом которых в иных государствах – членах Евразийского экономического союза до момента пр</w:t>
      </w:r>
      <w:r>
        <w:t>едставления в Республике Беларусь документа, отражающего исчисление и уплату утилизационного сбора, прошло менее одного года, применяется ставка утилизационного сбора, увеличенная на сумму, определенную в соответствии с пунктом 3</w:t>
      </w:r>
      <w:r>
        <w:rPr>
          <w:vertAlign w:val="superscript"/>
        </w:rPr>
        <w:t>1</w:t>
      </w:r>
      <w:r>
        <w:t xml:space="preserve"> настоящего постановления.</w:t>
      </w:r>
    </w:p>
    <w:p w:rsidR="00000000" w:rsidRDefault="00CB2818">
      <w:pPr>
        <w:pStyle w:val="snoski"/>
        <w:spacing w:after="240" w:afterAutospacing="0"/>
      </w:pPr>
      <w:bookmarkStart w:id="24" w:name="a60"/>
      <w:bookmarkEnd w:id="24"/>
      <w:r>
        <w:rPr>
          <w:vertAlign w:val="superscript"/>
        </w:rPr>
        <w:t>3 </w:t>
      </w:r>
      <w:r>
        <w:t>Экологический класс транспортного средства подтверждается соответствующей записью в сертификате соответствия или одобрении типа транспортного средства, выданных согласно требованиям технического</w:t>
      </w:r>
      <w:r>
        <w:t xml:space="preserve"> </w:t>
      </w:r>
      <w:r>
        <w:t>регламента Таможенного союза «О безопасности колесных тран</w:t>
      </w:r>
      <w:r>
        <w:t>спортных средств» (</w:t>
      </w:r>
      <w:proofErr w:type="gramStart"/>
      <w:r>
        <w:t>ТР</w:t>
      </w:r>
      <w:proofErr w:type="gramEnd"/>
      <w:r>
        <w:t> ТС 018/2011), либо заключением об оценке единичного транспортного средства, выданным аккредитованной испытательной лабораторией Республики Беларусь.</w:t>
      </w:r>
    </w:p>
    <w:p w:rsidR="00000000" w:rsidRDefault="00CB281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B2818">
            <w:pPr>
              <w:pStyle w:val="capu1"/>
            </w:pPr>
            <w:r>
              <w:t>УТВЕРЖДЕНО</w:t>
            </w:r>
          </w:p>
          <w:p w:rsidR="00000000" w:rsidRDefault="00CB2818">
            <w:pPr>
              <w:pStyle w:val="cap1"/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t xml:space="preserve">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00000" w:rsidRDefault="00CB2818">
            <w:pPr>
              <w:pStyle w:val="cap1"/>
            </w:pPr>
            <w:r>
              <w:t>01.07.2019 №</w:t>
            </w:r>
            <w:r>
              <w:t xml:space="preserve"> </w:t>
            </w:r>
            <w:r>
              <w:rPr>
                <w:rStyle w:val="HTML"/>
                <w:shd w:val="clear" w:color="auto" w:fill="FFFFFF"/>
              </w:rPr>
              <w:t>437</w:t>
            </w:r>
          </w:p>
        </w:tc>
      </w:tr>
    </w:tbl>
    <w:p w:rsidR="00000000" w:rsidRDefault="00CB2818">
      <w:pPr>
        <w:pStyle w:val="titleu"/>
      </w:pPr>
      <w:bookmarkStart w:id="25" w:name="a43"/>
      <w:bookmarkEnd w:id="25"/>
      <w:r>
        <w:lastRenderedPageBreak/>
        <w:t>ПОЛОЖЕНИЕ</w:t>
      </w:r>
      <w:r>
        <w:br/>
        <w:t>о порядке и условиях принятия обязательства обеспечить последующее безопасное обращение с отходами, образовавшимися в результате утраты транспортными средствами своих потребительских свойств</w:t>
      </w:r>
    </w:p>
    <w:p w:rsidR="00000000" w:rsidRDefault="00CB2818">
      <w:pPr>
        <w:pStyle w:val="point"/>
      </w:pPr>
      <w:r>
        <w:t>1. Настоящим Положением определяются порядок и усло</w:t>
      </w:r>
      <w:r>
        <w:t>вия принятия организацией, производящей (изготавливающей) транспортные средства (далее – организация-производитель*), обязательства обеспечить последующее безопасное обращение с отходами, образовавшимися в результате утраты транспортными средствами, за иск</w:t>
      </w:r>
      <w:r>
        <w:t>лючением самоходных машин и (или) прицепов к ним, своих потребительских свойств.</w:t>
      </w:r>
    </w:p>
    <w:p w:rsidR="00000000" w:rsidRDefault="00CB2818">
      <w:pPr>
        <w:pStyle w:val="snoskiline"/>
      </w:pPr>
      <w:proofErr w:type="gramStart"/>
      <w:r>
        <w:t>______________________________</w:t>
      </w:r>
      <w:proofErr w:type="gramEnd"/>
    </w:p>
    <w:p w:rsidR="00000000" w:rsidRDefault="00CB2818">
      <w:pPr>
        <w:pStyle w:val="snoski"/>
        <w:spacing w:after="240" w:afterAutospacing="0"/>
      </w:pPr>
      <w:bookmarkStart w:id="26" w:name="a42"/>
      <w:bookmarkEnd w:id="26"/>
      <w:proofErr w:type="gramStart"/>
      <w:r>
        <w:t xml:space="preserve">* Для целей настоящего Положения под организацией-производителем понимается юридическое лицо, осуществляющее производство транспортных средств, </w:t>
      </w:r>
      <w:r>
        <w:t>за исключением самоходных машин и (или) прицепов к ним, с соблюдением условий и критериев, установленных</w:t>
      </w:r>
      <w:r>
        <w:t xml:space="preserve"> </w:t>
      </w:r>
      <w:r>
        <w:t>Положением об отнесении продукции (работ, услуг) к продукции (работам, услугам) собственного производства, утвержденным постановлением Совета Министров</w:t>
      </w:r>
      <w:r>
        <w:t xml:space="preserve"> Республики Беларусь от 17 декабря 2001 г. № 1817.</w:t>
      </w:r>
      <w:proofErr w:type="gramEnd"/>
    </w:p>
    <w:p w:rsidR="00000000" w:rsidRDefault="00CB2818">
      <w:pPr>
        <w:pStyle w:val="point"/>
      </w:pPr>
      <w:bookmarkStart w:id="27" w:name="a20"/>
      <w:bookmarkEnd w:id="27"/>
      <w:r>
        <w:t>2. Организация-производитель принимает обязательство обеспечить последующее безопасное обращение с отходами, образовавшимися в результате утраты производимыми ею транспортными средствами своих потребительс</w:t>
      </w:r>
      <w:r>
        <w:t>ких свойств, если отвечает следующим требованиям:</w:t>
      </w:r>
    </w:p>
    <w:p w:rsidR="00000000" w:rsidRDefault="00CB2818">
      <w:pPr>
        <w:pStyle w:val="underpoint"/>
      </w:pPr>
      <w:r>
        <w:t>2.1. является юридическим лицом, зарегистрированным на территории Республики Беларусь;</w:t>
      </w:r>
    </w:p>
    <w:p w:rsidR="00000000" w:rsidRDefault="00CB2818">
      <w:pPr>
        <w:pStyle w:val="underpoint"/>
      </w:pPr>
      <w:r>
        <w:t>2.2. выполняет операции по нанесению идентификационного номера (VIN) на неразъемные составляющие кузова (кабины), шасси</w:t>
      </w:r>
      <w:r>
        <w:t xml:space="preserve"> или специально изготовленные номерные таблички транспортных средств;</w:t>
      </w:r>
    </w:p>
    <w:p w:rsidR="00000000" w:rsidRDefault="00CB2818">
      <w:pPr>
        <w:pStyle w:val="underpoint"/>
      </w:pPr>
      <w:bookmarkStart w:id="28" w:name="a13"/>
      <w:bookmarkEnd w:id="28"/>
      <w:r>
        <w:t>2.3. осуществляет производство транспортных средств:</w:t>
      </w:r>
    </w:p>
    <w:p w:rsidR="00000000" w:rsidRDefault="00CB2818">
      <w:pPr>
        <w:pStyle w:val="newncpi"/>
      </w:pPr>
      <w:bookmarkStart w:id="29" w:name="a39"/>
      <w:bookmarkEnd w:id="29"/>
      <w:r>
        <w:t>на территории свободных (специальных, особых) экономических зон в Республике Беларусь;</w:t>
      </w:r>
    </w:p>
    <w:p w:rsidR="00000000" w:rsidRDefault="00CB2818">
      <w:pPr>
        <w:pStyle w:val="newncpi"/>
      </w:pPr>
      <w:r>
        <w:t>в режиме промышленной сборки;</w:t>
      </w:r>
    </w:p>
    <w:p w:rsidR="00000000" w:rsidRDefault="00CB2818">
      <w:pPr>
        <w:pStyle w:val="newncpi"/>
      </w:pPr>
      <w:r>
        <w:t>по технологии, в</w:t>
      </w:r>
      <w:r>
        <w:t>ключающей сварку, окраску и сборку кузова, – в отношении транспортных средств категорий M</w:t>
      </w:r>
      <w:r>
        <w:rPr>
          <w:vertAlign w:val="subscript"/>
        </w:rPr>
        <w:t>1</w:t>
      </w:r>
      <w:r>
        <w:t>, M</w:t>
      </w:r>
      <w:r>
        <w:rPr>
          <w:vertAlign w:val="subscript"/>
        </w:rPr>
        <w:t>2</w:t>
      </w:r>
      <w:r>
        <w:t>, M</w:t>
      </w:r>
      <w:r>
        <w:rPr>
          <w:vertAlign w:val="subscript"/>
        </w:rPr>
        <w:t>3</w:t>
      </w:r>
      <w:r>
        <w:t>, в том числе повышенной проходимости категорий M</w:t>
      </w:r>
      <w:r>
        <w:rPr>
          <w:vertAlign w:val="subscript"/>
        </w:rPr>
        <w:t>1</w:t>
      </w:r>
      <w:r>
        <w:t>G, M</w:t>
      </w:r>
      <w:r>
        <w:rPr>
          <w:vertAlign w:val="subscript"/>
        </w:rPr>
        <w:t>2</w:t>
      </w:r>
      <w:r>
        <w:t>G, M</w:t>
      </w:r>
      <w:r>
        <w:rPr>
          <w:vertAlign w:val="subscript"/>
        </w:rPr>
        <w:t>3</w:t>
      </w:r>
      <w:r>
        <w:t>G, а также специальных и специализированных транспортных средств указанных категорий;</w:t>
      </w:r>
    </w:p>
    <w:p w:rsidR="00000000" w:rsidRDefault="00CB2818">
      <w:pPr>
        <w:pStyle w:val="newncpi"/>
      </w:pPr>
      <w:bookmarkStart w:id="30" w:name="a33"/>
      <w:bookmarkEnd w:id="30"/>
      <w:proofErr w:type="gramStart"/>
      <w:r>
        <w:t>по технологи</w:t>
      </w:r>
      <w:r>
        <w:t xml:space="preserve">и, включающей сварку, окраску и сборку кузова или кабины либо промышленное изготовление и монтаж грузовых и специальных надстроек на шасси транспортных средств, кабины которых произведены на территории государств – членов Евразийского экономического союза </w:t>
      </w:r>
      <w:r>
        <w:t>по технологии, включающей сварку, окраску и сборку, – в отношении транспортных средств категорий N</w:t>
      </w:r>
      <w:r>
        <w:rPr>
          <w:vertAlign w:val="subscript"/>
        </w:rPr>
        <w:t>1</w:t>
      </w:r>
      <w:r>
        <w:t>, N</w:t>
      </w:r>
      <w:r>
        <w:rPr>
          <w:vertAlign w:val="subscript"/>
        </w:rPr>
        <w:t>2</w:t>
      </w:r>
      <w:r>
        <w:t>, в том числе повышенной проходимости категорий N</w:t>
      </w:r>
      <w:r>
        <w:rPr>
          <w:vertAlign w:val="subscript"/>
        </w:rPr>
        <w:t>1</w:t>
      </w:r>
      <w:r>
        <w:t>G, N</w:t>
      </w:r>
      <w:r>
        <w:rPr>
          <w:vertAlign w:val="subscript"/>
        </w:rPr>
        <w:t>2</w:t>
      </w:r>
      <w:r>
        <w:t>G, а также специальных и специализированных</w:t>
      </w:r>
      <w:proofErr w:type="gramEnd"/>
      <w:r>
        <w:t xml:space="preserve"> транспортных средств указанных категорий;</w:t>
      </w:r>
    </w:p>
    <w:p w:rsidR="00000000" w:rsidRDefault="00CB2818">
      <w:pPr>
        <w:pStyle w:val="newncpi"/>
      </w:pPr>
      <w:proofErr w:type="gramStart"/>
      <w:r>
        <w:t>по технологи</w:t>
      </w:r>
      <w:r>
        <w:t xml:space="preserve">и, включающей сварку, окраску и сборку кабины либо промышленное изготовление и монтаж специальных и специализированных вариантов исполнения загрузочного пространства, в том числе бортовой платформы, фургона, самосвального кузова, цистерны, изотермического </w:t>
      </w:r>
      <w:r>
        <w:t>кузова и другого, крановой установки и иного специализированного оборудования на собранные на территории государств – членов Евразийского экономического союза шасси, лонжероны рам которых изготовлены на территории государств – членов Евразийского экономиче</w:t>
      </w:r>
      <w:r>
        <w:t>ского союза</w:t>
      </w:r>
      <w:proofErr w:type="gramEnd"/>
      <w:r>
        <w:t xml:space="preserve">, – в отношении транспортных </w:t>
      </w:r>
      <w:r>
        <w:lastRenderedPageBreak/>
        <w:t>средств категории N</w:t>
      </w:r>
      <w:r>
        <w:rPr>
          <w:vertAlign w:val="subscript"/>
        </w:rPr>
        <w:t>3</w:t>
      </w:r>
      <w:r>
        <w:t>, в том числе повышенной проходимости категории N</w:t>
      </w:r>
      <w:r>
        <w:rPr>
          <w:vertAlign w:val="subscript"/>
        </w:rPr>
        <w:t>3</w:t>
      </w:r>
      <w:r>
        <w:t>G, а также специальных и специализированных транспортных средств указанных категорий;</w:t>
      </w:r>
    </w:p>
    <w:p w:rsidR="00000000" w:rsidRDefault="00CB2818">
      <w:pPr>
        <w:pStyle w:val="newncpi"/>
      </w:pPr>
      <w:proofErr w:type="gramStart"/>
      <w:r>
        <w:t>по технологии, включающей сборку с использованием кузова (ка</w:t>
      </w:r>
      <w:r>
        <w:t>бины), а также при наличии лонжеронов рам шасси, изготовленных организацией-производителем, принявшей обязательство обеспечить последующее безопасное обращение с отходами, образовавшимися в результате утраты транспортными средствами своих потребительских с</w:t>
      </w:r>
      <w:r>
        <w:t>войств, – в отношении транспортных средств категорий M</w:t>
      </w:r>
      <w:r>
        <w:rPr>
          <w:vertAlign w:val="subscript"/>
        </w:rPr>
        <w:t>1</w:t>
      </w:r>
      <w:r>
        <w:t>, M</w:t>
      </w:r>
      <w:r>
        <w:rPr>
          <w:vertAlign w:val="subscript"/>
        </w:rPr>
        <w:t>2</w:t>
      </w:r>
      <w:r>
        <w:t>, M</w:t>
      </w:r>
      <w:r>
        <w:rPr>
          <w:vertAlign w:val="subscript"/>
        </w:rPr>
        <w:t>3</w:t>
      </w:r>
      <w:r>
        <w:t xml:space="preserve"> и N</w:t>
      </w:r>
      <w:r>
        <w:rPr>
          <w:vertAlign w:val="subscript"/>
        </w:rPr>
        <w:t>1</w:t>
      </w:r>
      <w:r>
        <w:t>,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в том числе повышенной проходимости категорий M</w:t>
      </w:r>
      <w:r>
        <w:rPr>
          <w:vertAlign w:val="subscript"/>
        </w:rPr>
        <w:t>1</w:t>
      </w:r>
      <w:r>
        <w:t>G, M</w:t>
      </w:r>
      <w:r>
        <w:rPr>
          <w:vertAlign w:val="subscript"/>
        </w:rPr>
        <w:t>2</w:t>
      </w:r>
      <w:r>
        <w:t>G, M</w:t>
      </w:r>
      <w:r>
        <w:rPr>
          <w:vertAlign w:val="subscript"/>
        </w:rPr>
        <w:t>3</w:t>
      </w:r>
      <w:r>
        <w:t>G и N</w:t>
      </w:r>
      <w:r>
        <w:rPr>
          <w:vertAlign w:val="subscript"/>
        </w:rPr>
        <w:t>1</w:t>
      </w:r>
      <w:r>
        <w:t>G, N</w:t>
      </w:r>
      <w:r>
        <w:rPr>
          <w:vertAlign w:val="subscript"/>
        </w:rPr>
        <w:t>2</w:t>
      </w:r>
      <w:r>
        <w:t>G, N</w:t>
      </w:r>
      <w:r>
        <w:rPr>
          <w:vertAlign w:val="subscript"/>
        </w:rPr>
        <w:t>3</w:t>
      </w:r>
      <w:r>
        <w:t>G, а</w:t>
      </w:r>
      <w:proofErr w:type="gramEnd"/>
      <w:r>
        <w:t xml:space="preserve"> также специальных и специализированных транспортных средств указанных категорий;</w:t>
      </w:r>
    </w:p>
    <w:p w:rsidR="00000000" w:rsidRDefault="00CB2818">
      <w:pPr>
        <w:pStyle w:val="newncpi"/>
      </w:pPr>
      <w:r>
        <w:t>по технологии, вкл</w:t>
      </w:r>
      <w:r>
        <w:t>ючающей изготовление (переоборудование) специальных транспортных средств, произведенных на территории Республики Беларусь, а также ввезенных на территорию Республики Беларусь базовых транспортных средств, в том числе в отношении которых ранее в соответстви</w:t>
      </w:r>
      <w:r>
        <w:t>и с международным договором Республики Беларусь не был уплачен утилизационный сбор;</w:t>
      </w:r>
    </w:p>
    <w:p w:rsidR="00000000" w:rsidRDefault="00CB2818">
      <w:pPr>
        <w:pStyle w:val="newncpi"/>
      </w:pPr>
      <w:bookmarkStart w:id="31" w:name="a64"/>
      <w:bookmarkEnd w:id="31"/>
      <w:proofErr w:type="gramStart"/>
      <w:r>
        <w:t xml:space="preserve">по технологии, включающей сборку, сварку и окраску несущей рамы, в том числе лонжеронов, либо промышленное изготовление и монтаж специальных и специализированных вариантов </w:t>
      </w:r>
      <w:r>
        <w:t>исполнения загрузочного пространства, в том числе платформы, фургона, самосвального кузова, бункера, цистерны, изотермического кузова и другого, генераторной, насосной установки и иного специализированного оборудования на собранные на территории государств</w:t>
      </w:r>
      <w:r>
        <w:t> – членов Евразийского экономического союза шасси, лонжероны рам которых изготовлены на</w:t>
      </w:r>
      <w:proofErr w:type="gramEnd"/>
      <w:r>
        <w:t> территории государств – членов Евразийского экономического союза, – в отношении транспортных средств категории О</w:t>
      </w:r>
      <w:proofErr w:type="gramStart"/>
      <w:r>
        <w:rPr>
          <w:vertAlign w:val="subscript"/>
        </w:rPr>
        <w:t>4</w:t>
      </w:r>
      <w:proofErr w:type="gramEnd"/>
      <w:r>
        <w:t>, а также специальных и специализированных транспортных</w:t>
      </w:r>
      <w:r>
        <w:t xml:space="preserve"> средств указанной категории.</w:t>
      </w:r>
    </w:p>
    <w:p w:rsidR="00000000" w:rsidRDefault="00CB2818">
      <w:pPr>
        <w:pStyle w:val="newncpi"/>
      </w:pPr>
      <w:r>
        <w:t>Для целей настоящего Положения термины «специальное транспортное средство» и «базовое транспортное средство» используются в значении, установленном техническим</w:t>
      </w:r>
      <w:r>
        <w:t xml:space="preserve"> </w:t>
      </w:r>
      <w:r>
        <w:t>регламентом Таможенного союза «О безопасности колесных транспортны</w:t>
      </w:r>
      <w:r>
        <w:t>х средств» (</w:t>
      </w:r>
      <w:proofErr w:type="gramStart"/>
      <w:r>
        <w:t>ТР</w:t>
      </w:r>
      <w:proofErr w:type="gramEnd"/>
      <w:r>
        <w:t xml:space="preserve"> ТС 018/2011), принятым Решением Комиссии Таможенного союза от 9 декабря 2011 г. № 877 «О принятии технического регламента Таможенного союза «О безопасности колесных транспортных средств».</w:t>
      </w:r>
    </w:p>
    <w:p w:rsidR="00000000" w:rsidRDefault="00CB2818">
      <w:pPr>
        <w:pStyle w:val="underpoint"/>
      </w:pPr>
      <w:proofErr w:type="gramStart"/>
      <w:r>
        <w:t>2.4. осуществляет прием произведенных ею транспортных</w:t>
      </w:r>
      <w:r>
        <w:t xml:space="preserve"> средств от их собственников (владельцев), в том числе с привлечением лиц, реализующих произведенные ею транспортные средства, в организованных ею на территории Республики Беларусь пунктах приема транспортных средств, утративших свои потребительские свойст</w:t>
      </w:r>
      <w:r>
        <w:t>ва (далее – пункты приема).</w:t>
      </w:r>
      <w:proofErr w:type="gramEnd"/>
    </w:p>
    <w:p w:rsidR="00000000" w:rsidRDefault="00CB2818">
      <w:pPr>
        <w:pStyle w:val="point"/>
      </w:pPr>
      <w:r>
        <w:t>3. </w:t>
      </w:r>
      <w:proofErr w:type="gramStart"/>
      <w:r>
        <w:t xml:space="preserve">Организации-производители признаются принявшими обязательство обеспечить последующее безопасное обращение с отходами, образовавшимися в результате утраты транспортными средствами своих потребительских свойств, при условии их </w:t>
      </w:r>
      <w:r>
        <w:t>включения в</w:t>
      </w:r>
      <w:r>
        <w:t xml:space="preserve"> </w:t>
      </w:r>
      <w:r>
        <w:t>реестр организаций, производящих (изготавливающих) транспортные средства, принявших обязательство обеспечить последующее безопасное обращение с отходами, образовавшимися в результате утраты транспортными средствами своих потребительских свойств</w:t>
      </w:r>
      <w:r>
        <w:t xml:space="preserve"> (далее – реестр).</w:t>
      </w:r>
      <w:proofErr w:type="gramEnd"/>
      <w:r>
        <w:t xml:space="preserve"> При включении организации-производителя в реестр указывается модельный ряд транспортного средства.</w:t>
      </w:r>
    </w:p>
    <w:p w:rsidR="00000000" w:rsidRDefault="00CB2818">
      <w:pPr>
        <w:pStyle w:val="newncpi"/>
      </w:pPr>
      <w:bookmarkStart w:id="32" w:name="a41"/>
      <w:bookmarkEnd w:id="32"/>
      <w:r>
        <w:t>Ведение</w:t>
      </w:r>
      <w:r>
        <w:t xml:space="preserve"> </w:t>
      </w:r>
      <w:r>
        <w:t>реестра осуществляется Министерством промышленности по определяемой им</w:t>
      </w:r>
      <w:r>
        <w:t xml:space="preserve"> </w:t>
      </w:r>
      <w:r>
        <w:t>форме с размещением на своем официальном сайте в глобальной</w:t>
      </w:r>
      <w:r>
        <w:t xml:space="preserve"> компьютерной сети Интернет.</w:t>
      </w:r>
    </w:p>
    <w:p w:rsidR="00000000" w:rsidRDefault="00CB2818">
      <w:pPr>
        <w:pStyle w:val="point"/>
      </w:pPr>
      <w:bookmarkStart w:id="33" w:name="a12"/>
      <w:bookmarkEnd w:id="33"/>
      <w:r>
        <w:t>4. Организация-производитель, принимающая обязательство обеспечить последующее безопасное обращение с отходами, образовавшимися в результате утраты транспортными средствами своих потребительских свойств, за свой счет:</w:t>
      </w:r>
    </w:p>
    <w:p w:rsidR="00000000" w:rsidRDefault="00CB2818">
      <w:pPr>
        <w:pStyle w:val="newncpi"/>
      </w:pPr>
      <w:r>
        <w:lastRenderedPageBreak/>
        <w:t>обеспечивает прием произведенных ею транспортных средств, утративших свои потребительские свойства, в пунктах приема;</w:t>
      </w:r>
    </w:p>
    <w:p w:rsidR="00000000" w:rsidRDefault="00CB2818">
      <w:pPr>
        <w:pStyle w:val="newncpi"/>
      </w:pPr>
      <w:r>
        <w:t>обеспечивает доставку транспортных средств от пунктов приема до мест осуществления деятельности по обращению с отходами, образовавшимися в</w:t>
      </w:r>
      <w:r>
        <w:t xml:space="preserve"> результате утраты транспортными средствами своих потребительских свойств;</w:t>
      </w:r>
    </w:p>
    <w:p w:rsidR="00000000" w:rsidRDefault="00CB2818">
      <w:pPr>
        <w:pStyle w:val="newncpi"/>
      </w:pPr>
      <w:bookmarkStart w:id="34" w:name="a34"/>
      <w:bookmarkEnd w:id="34"/>
      <w:r>
        <w:t>обеспечивает деятельность по обращению с отходами, образовавшимися в результате утраты транспортными средствами своих потребительских свойств, в том числе их использование, обезвреж</w:t>
      </w:r>
      <w:r>
        <w:t>ивание, захоронение, посредством создания для этих целей собственных объектов по использованию отходов и (или) их обезвреживанию либо заключения договоров с организациями, деятельность которых связана с выполнением таких работ;</w:t>
      </w:r>
    </w:p>
    <w:p w:rsidR="00000000" w:rsidRDefault="00CB2818">
      <w:pPr>
        <w:pStyle w:val="newncpi"/>
      </w:pPr>
      <w:r>
        <w:t>информирует (по запросу) заи</w:t>
      </w:r>
      <w:r>
        <w:t>нтересованных лиц, а также Министерство природных ресурсов и охраны окружающей среды о пунктах приема с указанием их места нахождения, времени работы, контактных телефонов, официальных сайтов в глобальной компьютерной сети Интернет (при наличии), а также р</w:t>
      </w:r>
      <w:r>
        <w:t>азмещает данную информацию на своем официальном сайте в глобальной компьютерной сети Интернет.</w:t>
      </w:r>
    </w:p>
    <w:p w:rsidR="00000000" w:rsidRDefault="00CB2818">
      <w:pPr>
        <w:pStyle w:val="point"/>
      </w:pPr>
      <w:r>
        <w:t>5. Организация-производитель в случае ее реорганизации либо исключения из</w:t>
      </w:r>
      <w:r>
        <w:t xml:space="preserve"> </w:t>
      </w:r>
      <w:r>
        <w:t>реестра не вправе отказаться от исполнения обязательств, предусмотренных в пункте 4 нас</w:t>
      </w:r>
      <w:r>
        <w:t>тоящего Положения, в отношении транспортных средств, произведенных в период нахождения организации-производителя в реестре.</w:t>
      </w:r>
    </w:p>
    <w:p w:rsidR="00000000" w:rsidRDefault="00CB2818">
      <w:pPr>
        <w:pStyle w:val="point"/>
      </w:pPr>
      <w:bookmarkStart w:id="35" w:name="a14"/>
      <w:bookmarkEnd w:id="35"/>
      <w:r>
        <w:t>6. Организация-производитель подлежит включению в</w:t>
      </w:r>
      <w:r>
        <w:t xml:space="preserve"> </w:t>
      </w:r>
      <w:r>
        <w:t>реестр на основании заявления, представляемого в Министерство промышленности, в ко</w:t>
      </w:r>
      <w:r>
        <w:t>тором указываются следующие сведения:</w:t>
      </w:r>
    </w:p>
    <w:p w:rsidR="00000000" w:rsidRDefault="00CB2818">
      <w:pPr>
        <w:pStyle w:val="newncpi"/>
      </w:pPr>
      <w:r>
        <w:t>наименование, место нахождения, номер телефона, официальный сайт и адрес электронной почты в глобальной компьютерной сети Интернет;</w:t>
      </w:r>
    </w:p>
    <w:p w:rsidR="00000000" w:rsidRDefault="00CB2818">
      <w:pPr>
        <w:pStyle w:val="newncpi"/>
      </w:pPr>
      <w:r>
        <w:t>информация о нанесении идентификационного номера (VIN) на неразъемные составляющие куз</w:t>
      </w:r>
      <w:r>
        <w:t>ова (кабины), шасси или специально изготовленные номерные таблички транспортных средств;</w:t>
      </w:r>
    </w:p>
    <w:p w:rsidR="00000000" w:rsidRDefault="00CB2818">
      <w:pPr>
        <w:pStyle w:val="newncpi"/>
      </w:pPr>
      <w:r>
        <w:t>информация о режиме и (или) технологиях производства транспортных сре</w:t>
      </w:r>
      <w:proofErr w:type="gramStart"/>
      <w:r>
        <w:t>дств в с</w:t>
      </w:r>
      <w:proofErr w:type="gramEnd"/>
      <w:r>
        <w:t>оответствии с частью первой подпункта 2.3 пункта 2 настоящего Положения;</w:t>
      </w:r>
    </w:p>
    <w:p w:rsidR="00000000" w:rsidRDefault="00CB2818">
      <w:pPr>
        <w:pStyle w:val="newncpi"/>
      </w:pPr>
      <w:r>
        <w:t>информация о прие</w:t>
      </w:r>
      <w:r>
        <w:t>ме транспортных средств, утративших свои потребительские свойства, в пунктах приема;</w:t>
      </w:r>
    </w:p>
    <w:p w:rsidR="00000000" w:rsidRDefault="00CB2818">
      <w:pPr>
        <w:pStyle w:val="newncpi"/>
      </w:pPr>
      <w:r>
        <w:t>информация о марках, моделях произведенных (изготовленных) транспортных средств;</w:t>
      </w:r>
    </w:p>
    <w:p w:rsidR="00000000" w:rsidRDefault="00CB2818">
      <w:pPr>
        <w:pStyle w:val="newncpi"/>
      </w:pPr>
      <w:r>
        <w:t>регистрационный номер, дата выдачи свидетельства о регистрации в качестве резидента свобод</w:t>
      </w:r>
      <w:r>
        <w:t>ной (специальной, особой) экономической зоны – в случае производства транспортных средств на территории свободной (специальной, особой) экономической зоны.</w:t>
      </w:r>
    </w:p>
    <w:p w:rsidR="00000000" w:rsidRDefault="00CB2818">
      <w:pPr>
        <w:pStyle w:val="point"/>
      </w:pPr>
      <w:bookmarkStart w:id="36" w:name="a19"/>
      <w:bookmarkEnd w:id="36"/>
      <w:r>
        <w:t>7. К заявлению, указанному в пункте 6 настоящего Положения, прилагаются следующие документы:</w:t>
      </w:r>
    </w:p>
    <w:p w:rsidR="00000000" w:rsidRDefault="00CB2818">
      <w:pPr>
        <w:pStyle w:val="newncpi"/>
      </w:pPr>
      <w:r>
        <w:t>копия с</w:t>
      </w:r>
      <w:r>
        <w:t>видетельства о присвоении Международного идентификационного кода изготовителя транспортного средства (WMI-код);</w:t>
      </w:r>
    </w:p>
    <w:p w:rsidR="00000000" w:rsidRDefault="00CB2818">
      <w:pPr>
        <w:pStyle w:val="newncpi"/>
      </w:pPr>
      <w:bookmarkStart w:id="37" w:name="a35"/>
      <w:bookmarkEnd w:id="37"/>
      <w:r>
        <w:lastRenderedPageBreak/>
        <w:t>копия</w:t>
      </w:r>
      <w:r>
        <w:t xml:space="preserve"> </w:t>
      </w:r>
      <w:r>
        <w:t>одобрения типа транспортного средства, либо копия свидетельства о безопасности конструкции транспортного средства, либо копия заключения о</w:t>
      </w:r>
      <w:r>
        <w:t>б оценке типа транспортного средства, либо копия заключения об оценке единичного транспортного средства;</w:t>
      </w:r>
    </w:p>
    <w:p w:rsidR="00000000" w:rsidRDefault="00CB2818">
      <w:pPr>
        <w:pStyle w:val="newncpi"/>
      </w:pPr>
      <w:r>
        <w:t>копии</w:t>
      </w:r>
      <w:r>
        <w:t xml:space="preserve"> </w:t>
      </w:r>
      <w:r>
        <w:t>сертификата продукции (работ, услуг) собственного производства, выданного в установленном порядке, и акта экспертизы по отнесению продукции (рабо</w:t>
      </w:r>
      <w:r>
        <w:t>т, услуг) к продукции собственного производства, подтверждающего выполнение организацией-производителем технологических операций на территории, в режиме и по технологиям, определенным в части первой подпункта 2.3 пункта 2 настоящего Положения;</w:t>
      </w:r>
    </w:p>
    <w:p w:rsidR="00000000" w:rsidRDefault="00CB2818">
      <w:pPr>
        <w:pStyle w:val="newncpi"/>
      </w:pPr>
      <w:proofErr w:type="gramStart"/>
      <w:r>
        <w:t>копии</w:t>
      </w:r>
      <w:r>
        <w:t xml:space="preserve"> </w:t>
      </w:r>
      <w:r>
        <w:t>сертиф</w:t>
      </w:r>
      <w:r>
        <w:t>иката о происхождении товара, выдаваемого уполномоченным органом (организацией) государства – члена Евразийского экономического союза по форме, установленной Правилами определения страны происхождения товаров, являющимися неотъемлемой частью Соглашения о П</w:t>
      </w:r>
      <w:r>
        <w:t>равилах определения страны происхождения товаров в Содружестве Независимых Государств от 20 ноября 2009 года, и акта экспертизы по определению страны происхождения товаров, подтверждающего выполнение на территории государств – членов Евразийского экономиче</w:t>
      </w:r>
      <w:r>
        <w:t>ского союза технологических операций</w:t>
      </w:r>
      <w:proofErr w:type="gramEnd"/>
      <w:r>
        <w:t>, – в случае производства транспортных средств по технологиям, определенным в абзацах пятом, шестом и девятом части первой подпункта 2.3 пункта 2 настоящего Положения;</w:t>
      </w:r>
    </w:p>
    <w:p w:rsidR="00000000" w:rsidRDefault="00CB2818">
      <w:pPr>
        <w:pStyle w:val="newncpi"/>
      </w:pPr>
      <w:bookmarkStart w:id="38" w:name="a54"/>
      <w:bookmarkEnd w:id="38"/>
      <w:r>
        <w:t>копия приказа об организации пункта приема на террит</w:t>
      </w:r>
      <w:r>
        <w:t>ории организации-производителя транспортных средств, утративших свои потребительские свойства, а также в случае привлечения организаций, указанных в абзаце четвертом пункта 4 настоящего Положения, – копии договоров с ними.</w:t>
      </w:r>
    </w:p>
    <w:p w:rsidR="00000000" w:rsidRDefault="00CB2818">
      <w:pPr>
        <w:pStyle w:val="point"/>
      </w:pPr>
      <w:r>
        <w:t>7</w:t>
      </w:r>
      <w:r>
        <w:rPr>
          <w:vertAlign w:val="superscript"/>
        </w:rPr>
        <w:t>1</w:t>
      </w:r>
      <w:r>
        <w:t>. Изменения в</w:t>
      </w:r>
      <w:r>
        <w:t> </w:t>
      </w:r>
      <w:r>
        <w:t xml:space="preserve">реестр </w:t>
      </w:r>
      <w:r>
        <w:t>вносятся на основании заявления организации-производителя, в котором указываются сведения, предусмотренные в пункте 6 настоящего Положения.</w:t>
      </w:r>
    </w:p>
    <w:p w:rsidR="00000000" w:rsidRDefault="00CB2818">
      <w:pPr>
        <w:pStyle w:val="newncpi"/>
      </w:pPr>
      <w:r>
        <w:t>К заявлению прилагаются документы, указанные в абзацах третьем–пятом пункта 7 и пункте 8 настоящего Положения.</w:t>
      </w:r>
    </w:p>
    <w:p w:rsidR="00000000" w:rsidRDefault="00CB2818">
      <w:pPr>
        <w:pStyle w:val="newncpi"/>
      </w:pPr>
      <w:proofErr w:type="gramStart"/>
      <w:r>
        <w:t>В слу</w:t>
      </w:r>
      <w:r>
        <w:t>чае внесения изменений в приказ об организации пункта приема на территории организации-производителя к заявлению</w:t>
      </w:r>
      <w:proofErr w:type="gramEnd"/>
      <w:r>
        <w:t xml:space="preserve"> прилагаются документы, указанные в абзаце шестом пункта 7 настоящего Положения.</w:t>
      </w:r>
    </w:p>
    <w:p w:rsidR="00000000" w:rsidRDefault="00CB2818">
      <w:pPr>
        <w:pStyle w:val="point"/>
      </w:pPr>
      <w:bookmarkStart w:id="39" w:name="a37"/>
      <w:bookmarkEnd w:id="39"/>
      <w:r>
        <w:t>8. Организация, осуществляющая производство транспортных средст</w:t>
      </w:r>
      <w:r>
        <w:t>в на базе транспортных средств (шасси), изготовленных организацией-производителем, включенной в</w:t>
      </w:r>
      <w:r>
        <w:t xml:space="preserve"> </w:t>
      </w:r>
      <w:r>
        <w:t>реестр, включается в реестр на основании заявления, документов, предусмотренных в пункте 7 настоящего Положения, и прилагаемого к ним письменного согласования о</w:t>
      </w:r>
      <w:r>
        <w:t>рганизации-производителя.</w:t>
      </w:r>
    </w:p>
    <w:p w:rsidR="00000000" w:rsidRDefault="00CB2818">
      <w:pPr>
        <w:pStyle w:val="point"/>
      </w:pPr>
      <w:r>
        <w:t>9. Министерство промышленности проверяет правильность оформления заявления, комплектность представленных документов и полноту содержащихся в них сведений.</w:t>
      </w:r>
    </w:p>
    <w:p w:rsidR="00000000" w:rsidRDefault="00CB2818">
      <w:pPr>
        <w:pStyle w:val="point"/>
      </w:pPr>
      <w:r>
        <w:t>10. По результатам рассмотрения заявления и представленных документов Минис</w:t>
      </w:r>
      <w:r>
        <w:t>терство промышленности в течение 15 рабочих дней со дня регистрации заявления принимает решение о включении или об отказе во включении организации-производителя в</w:t>
      </w:r>
      <w:r>
        <w:t xml:space="preserve"> </w:t>
      </w:r>
      <w:r>
        <w:t>реестр. </w:t>
      </w:r>
    </w:p>
    <w:p w:rsidR="00000000" w:rsidRDefault="00CB2818">
      <w:pPr>
        <w:pStyle w:val="point"/>
      </w:pPr>
      <w:bookmarkStart w:id="40" w:name="a38"/>
      <w:bookmarkEnd w:id="40"/>
      <w:r>
        <w:t>11. Министерство промышленности отказывает во включении в</w:t>
      </w:r>
      <w:r>
        <w:t xml:space="preserve"> </w:t>
      </w:r>
      <w:r>
        <w:t>реестр в случаях, предусмо</w:t>
      </w:r>
      <w:r>
        <w:t>тренных в</w:t>
      </w:r>
      <w:r>
        <w:t> </w:t>
      </w:r>
      <w:r>
        <w:t>статье 25 Закона Республики Беларусь от 28 октября 2008 г. № 433-З «Об основах административных процедур», а также в случае, если:</w:t>
      </w:r>
    </w:p>
    <w:p w:rsidR="00000000" w:rsidRDefault="00CB2818">
      <w:pPr>
        <w:pStyle w:val="newncpi"/>
      </w:pPr>
      <w:r>
        <w:t xml:space="preserve">в заявлении не содержатся либо </w:t>
      </w:r>
      <w:proofErr w:type="gramStart"/>
      <w:r>
        <w:t>содержатся</w:t>
      </w:r>
      <w:proofErr w:type="gramEnd"/>
      <w:r>
        <w:t xml:space="preserve"> не все сведения, указанные в пункте 6 настоящего Положения;</w:t>
      </w:r>
    </w:p>
    <w:p w:rsidR="00000000" w:rsidRDefault="00CB2818">
      <w:pPr>
        <w:pStyle w:val="newncpi"/>
      </w:pPr>
      <w:r>
        <w:lastRenderedPageBreak/>
        <w:t>не представле</w:t>
      </w:r>
      <w:r>
        <w:t>ны либо представлены не все документы, предусмотренные в пунктах 7 и 8 настоящего Положения;</w:t>
      </w:r>
    </w:p>
    <w:p w:rsidR="00000000" w:rsidRDefault="00CB2818">
      <w:pPr>
        <w:pStyle w:val="newncpi"/>
      </w:pPr>
      <w:r>
        <w:t>в заявлении и (или) представленных документах содержатся недостоверные сведения;</w:t>
      </w:r>
    </w:p>
    <w:p w:rsidR="00000000" w:rsidRDefault="00CB2818">
      <w:pPr>
        <w:pStyle w:val="newncpi"/>
      </w:pPr>
      <w:r>
        <w:t xml:space="preserve">организация-производитель не отвечает требованиям, установленным в пункте 2 </w:t>
      </w:r>
      <w:r>
        <w:t>настоящего Положения.</w:t>
      </w:r>
    </w:p>
    <w:p w:rsidR="00000000" w:rsidRDefault="00CB2818">
      <w:pPr>
        <w:pStyle w:val="point"/>
      </w:pPr>
      <w:r>
        <w:t>12. Решение о включении или об отказе во включении организации-производителя в</w:t>
      </w:r>
      <w:r>
        <w:t xml:space="preserve"> </w:t>
      </w:r>
      <w:r>
        <w:t>реестр, принятое Министерством промышленности, в письменном виде направляется заявителю в течение пяти рабочих дней со дня его принятия.</w:t>
      </w:r>
    </w:p>
    <w:p w:rsidR="00000000" w:rsidRDefault="00CB2818">
      <w:pPr>
        <w:pStyle w:val="point"/>
      </w:pPr>
      <w:bookmarkStart w:id="41" w:name="a22"/>
      <w:bookmarkEnd w:id="41"/>
      <w:r>
        <w:t>13. Организация-пр</w:t>
      </w:r>
      <w:r>
        <w:t>оизводитель после включения ее в</w:t>
      </w:r>
      <w:r>
        <w:t> </w:t>
      </w:r>
      <w:r>
        <w:t>реестр представляет в Министерство промышленности ежегодно до 15 января отчет о соответствии требованиям, установленным в пункте 2 настоящего Положения, с представлением актуализированных документов, указанных в абзацах тре</w:t>
      </w:r>
      <w:r>
        <w:t>тьем, четвертом и шестом пункта 7 настоящего Положения.</w:t>
      </w:r>
    </w:p>
    <w:p w:rsidR="00000000" w:rsidRDefault="00CB2818">
      <w:pPr>
        <w:pStyle w:val="point"/>
      </w:pPr>
      <w:r>
        <w:t>14. Организация-производитель исключается из</w:t>
      </w:r>
      <w:r>
        <w:t xml:space="preserve"> </w:t>
      </w:r>
      <w:r>
        <w:t>реестра в случаях:</w:t>
      </w:r>
    </w:p>
    <w:p w:rsidR="00000000" w:rsidRDefault="00CB2818">
      <w:pPr>
        <w:pStyle w:val="newncpi"/>
      </w:pPr>
      <w:bookmarkStart w:id="42" w:name="a21"/>
      <w:bookmarkEnd w:id="42"/>
      <w:r>
        <w:t>выявления Министерством промышленности нарушений требований, установленных в пункте 2 настоящего Положения;</w:t>
      </w:r>
    </w:p>
    <w:p w:rsidR="00000000" w:rsidRDefault="00CB2818">
      <w:pPr>
        <w:pStyle w:val="newncpi"/>
      </w:pPr>
      <w:r>
        <w:t>невыполнения обязательств, п</w:t>
      </w:r>
      <w:r>
        <w:t>редусмотренных в пункте 4 настоящего Положения;</w:t>
      </w:r>
    </w:p>
    <w:p w:rsidR="00000000" w:rsidRDefault="00CB2818">
      <w:pPr>
        <w:pStyle w:val="newncpi"/>
      </w:pPr>
      <w:r>
        <w:t>уведомления организацией-производителем Министерства промышленности о необходимости исключения ее из</w:t>
      </w:r>
      <w:r>
        <w:t> </w:t>
      </w:r>
      <w:r>
        <w:t>реестра;</w:t>
      </w:r>
    </w:p>
    <w:p w:rsidR="00000000" w:rsidRDefault="00CB2818">
      <w:pPr>
        <w:pStyle w:val="newncpi"/>
      </w:pPr>
      <w:r>
        <w:t>ликвидации либо реорганизации;</w:t>
      </w:r>
    </w:p>
    <w:p w:rsidR="00000000" w:rsidRDefault="00CB2818">
      <w:pPr>
        <w:pStyle w:val="newncpi"/>
      </w:pPr>
      <w:r>
        <w:t>непредставления документов, указанных в пункте 13 настоящего Положе</w:t>
      </w:r>
      <w:r>
        <w:t>ния.</w:t>
      </w:r>
    </w:p>
    <w:p w:rsidR="00000000" w:rsidRDefault="00CB2818">
      <w:pPr>
        <w:pStyle w:val="point"/>
      </w:pPr>
      <w:bookmarkStart w:id="43" w:name="a24"/>
      <w:bookmarkEnd w:id="43"/>
      <w:r>
        <w:t>15. Для принятия решения об исключении организации-производителя из</w:t>
      </w:r>
      <w:r>
        <w:t xml:space="preserve"> </w:t>
      </w:r>
      <w:r>
        <w:t>реестра по основаниям, предусмотренным в абзацах втором и третьем пункта 14 настоящего Положения, Министерство промышленности использует информацию:</w:t>
      </w:r>
    </w:p>
    <w:p w:rsidR="00000000" w:rsidRDefault="00CB2818">
      <w:pPr>
        <w:pStyle w:val="newncpi"/>
      </w:pPr>
      <w:r>
        <w:t>из отчетов, представляемых в соотв</w:t>
      </w:r>
      <w:r>
        <w:t>етствии с пунктом 13 настоящего Положения;</w:t>
      </w:r>
    </w:p>
    <w:p w:rsidR="00000000" w:rsidRDefault="00CB2818">
      <w:pPr>
        <w:pStyle w:val="newncpi"/>
      </w:pPr>
      <w:bookmarkStart w:id="44" w:name="a23"/>
      <w:bookmarkEnd w:id="44"/>
      <w:r>
        <w:t>от собственников (владельцев) транспортных средств о случаях отказа в пунктах приема принимать транспортные средства, в отношении которых принято обязательство обеспечить последующее безопасное обращение с отходам</w:t>
      </w:r>
      <w:r>
        <w:t>и, образовавшимися в результате утраты транспортными средствами своих потребительских свойств, без взимания платы;</w:t>
      </w:r>
    </w:p>
    <w:p w:rsidR="00000000" w:rsidRDefault="00CB2818">
      <w:pPr>
        <w:pStyle w:val="newncpi"/>
      </w:pPr>
      <w:r>
        <w:t>от таможенных органов, иных государственных органов о несоответствии организации-производителя требованиям, установленным в пункте 2 настояще</w:t>
      </w:r>
      <w:r>
        <w:t>го Положения.</w:t>
      </w:r>
    </w:p>
    <w:p w:rsidR="00000000" w:rsidRDefault="00CB2818">
      <w:pPr>
        <w:pStyle w:val="point"/>
      </w:pPr>
      <w:r>
        <w:t>16. Министерство промышленности в течение 15 календарных дней со дня получения информации, указанной в абзацах третьем и четвертом пункта 15 настоящего Положения, в целях ее подтверждения направляет запрос организации-производителю.</w:t>
      </w:r>
    </w:p>
    <w:p w:rsidR="00000000" w:rsidRDefault="00CB2818">
      <w:pPr>
        <w:pStyle w:val="newncpi"/>
      </w:pPr>
      <w:r>
        <w:t>Организац</w:t>
      </w:r>
      <w:r>
        <w:t>ия-производитель в течение 30 календарных дней со дня получения запроса информирует Министерство промышленности.</w:t>
      </w:r>
    </w:p>
    <w:p w:rsidR="00000000" w:rsidRDefault="00CB2818">
      <w:pPr>
        <w:pStyle w:val="point"/>
      </w:pPr>
      <w:r>
        <w:lastRenderedPageBreak/>
        <w:t>17. По результатам рассмотрения информации в соответствии с пунктами 15 и 16 настоящего Положения Министерство промышленности в течение 30 кале</w:t>
      </w:r>
      <w:r>
        <w:t>ндарных дней со дня ее получения принимает решение об оставлении организации-производителя в</w:t>
      </w:r>
      <w:r>
        <w:t xml:space="preserve"> </w:t>
      </w:r>
      <w:r>
        <w:t>реестре или об исключении ее из реестра.</w:t>
      </w:r>
    </w:p>
    <w:p w:rsidR="00000000" w:rsidRDefault="00CB2818">
      <w:pPr>
        <w:pStyle w:val="point"/>
      </w:pPr>
      <w:r>
        <w:t>18. Решение об оставлении организации-производителя в</w:t>
      </w:r>
      <w:r>
        <w:t xml:space="preserve"> </w:t>
      </w:r>
      <w:r>
        <w:t>реестре или об исключении ее из реестра, принятое Министерством пром</w:t>
      </w:r>
      <w:r>
        <w:t>ышленности, в письменном виде с обоснованием (при исключении) направляется организации-производителю в течение двух рабочих дней со дня его принятия.</w:t>
      </w:r>
    </w:p>
    <w:p w:rsidR="00000000" w:rsidRDefault="00CB2818">
      <w:pPr>
        <w:pStyle w:val="newncpi"/>
      </w:pPr>
      <w:r>
        <w:t>Решение об исключении организации-производителя из</w:t>
      </w:r>
      <w:r>
        <w:t xml:space="preserve"> </w:t>
      </w:r>
      <w:r>
        <w:t>реестра подлежит размещению на официальном сайте Минист</w:t>
      </w:r>
      <w:r>
        <w:t>ерства промышленности в глобальной компьютерной сети Интернет в день его принятия.</w:t>
      </w:r>
    </w:p>
    <w:p w:rsidR="00CB2818" w:rsidRDefault="00CB2818">
      <w:pPr>
        <w:pStyle w:val="newncpi0"/>
      </w:pPr>
      <w:r>
        <w:t> </w:t>
      </w:r>
    </w:p>
    <w:sectPr w:rsidR="00CB281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A"/>
    <w:rsid w:val="004B4FC0"/>
    <w:rsid w:val="00C403EA"/>
    <w:rsid w:val="00C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</w:style>
  <w:style w:type="character" w:styleId="HTML">
    <w:name w:val="HTML Acronym"/>
    <w:basedOn w:val="a0"/>
    <w:uiPriority w:val="99"/>
    <w:semiHidden/>
    <w:unhideWhenUsed/>
  </w:style>
  <w:style w:type="character" w:customStyle="1" w:styleId="promulgator">
    <w:name w:val="promulgator"/>
    <w:basedOn w:val="a0"/>
  </w:style>
  <w:style w:type="paragraph" w:customStyle="1" w:styleId="newncpi">
    <w:name w:val="new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tepr">
    <w:name w:val="datepr"/>
    <w:basedOn w:val="a0"/>
  </w:style>
  <w:style w:type="character" w:customStyle="1" w:styleId="number">
    <w:name w:val="number"/>
    <w:basedOn w:val="a0"/>
  </w:style>
  <w:style w:type="paragraph" w:customStyle="1" w:styleId="titlencpi">
    <w:name w:val="title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ost">
    <w:name w:val="post"/>
    <w:basedOn w:val="a0"/>
  </w:style>
  <w:style w:type="character" w:customStyle="1" w:styleId="pers">
    <w:name w:val="pers"/>
    <w:basedOn w:val="a0"/>
  </w:style>
  <w:style w:type="paragraph" w:customStyle="1" w:styleId="append1">
    <w:name w:val="appen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pu1">
    <w:name w:val="capu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">
    <w:name w:val="title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</w:style>
  <w:style w:type="character" w:styleId="HTML">
    <w:name w:val="HTML Acronym"/>
    <w:basedOn w:val="a0"/>
    <w:uiPriority w:val="99"/>
    <w:semiHidden/>
    <w:unhideWhenUsed/>
  </w:style>
  <w:style w:type="character" w:customStyle="1" w:styleId="promulgator">
    <w:name w:val="promulgator"/>
    <w:basedOn w:val="a0"/>
  </w:style>
  <w:style w:type="paragraph" w:customStyle="1" w:styleId="newncpi">
    <w:name w:val="new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tepr">
    <w:name w:val="datepr"/>
    <w:basedOn w:val="a0"/>
  </w:style>
  <w:style w:type="character" w:customStyle="1" w:styleId="number">
    <w:name w:val="number"/>
    <w:basedOn w:val="a0"/>
  </w:style>
  <w:style w:type="paragraph" w:customStyle="1" w:styleId="titlencpi">
    <w:name w:val="title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ost">
    <w:name w:val="post"/>
    <w:basedOn w:val="a0"/>
  </w:style>
  <w:style w:type="character" w:customStyle="1" w:styleId="pers">
    <w:name w:val="pers"/>
    <w:basedOn w:val="a0"/>
  </w:style>
  <w:style w:type="paragraph" w:customStyle="1" w:styleId="append1">
    <w:name w:val="appen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pu1">
    <w:name w:val="capu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">
    <w:name w:val="title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5478</Words>
  <Characters>31226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2025-06-16T11:22:00Z</dcterms:created>
  <dcterms:modified xsi:type="dcterms:W3CDTF">2025-06-16T11:22:00Z</dcterms:modified>
</cp:coreProperties>
</file>