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0000" w:rsidRDefault="00000000">
      <w:pPr>
        <w:pStyle w:val="newncpi0"/>
        <w:jc w:val="center"/>
        <w:rPr>
          <w:color w:val="000000"/>
          <w14:ligatures w14:val="none"/>
        </w:rPr>
      </w:pPr>
      <w:r>
        <w:rPr>
          <w:color w:val="000000"/>
        </w:rPr>
        <w:t> </w:t>
      </w:r>
    </w:p>
    <w:p w:rsidR="00000000" w:rsidRDefault="00000000">
      <w:pPr>
        <w:pStyle w:val="newncpi0"/>
        <w:jc w:val="center"/>
        <w:rPr>
          <w:color w:val="000000"/>
        </w:rPr>
      </w:pPr>
      <w:bookmarkStart w:id="0" w:name="a1"/>
      <w:bookmarkEnd w:id="0"/>
      <w:r>
        <w:rPr>
          <w:rStyle w:val="name"/>
          <w:color w:val="000000"/>
        </w:rPr>
        <w:t>ПОСТАНОВЛЕНИЕ </w:t>
      </w:r>
      <w:r>
        <w:rPr>
          <w:rStyle w:val="promulgator"/>
          <w:color w:val="000000"/>
        </w:rPr>
        <w:t>СОВЕТА МИНИСТРОВ РЕСПУБЛИКИ БЕЛАРУСЬ</w:t>
      </w:r>
    </w:p>
    <w:p w:rsidR="00000000" w:rsidRDefault="00000000">
      <w:pPr>
        <w:pStyle w:val="newncpi"/>
        <w:ind w:firstLine="0"/>
        <w:jc w:val="center"/>
        <w:rPr>
          <w:color w:val="000000"/>
        </w:rPr>
      </w:pPr>
      <w:r>
        <w:rPr>
          <w:rStyle w:val="datepr"/>
          <w:color w:val="000000"/>
        </w:rPr>
        <w:t>21 октября 2016 г.</w:t>
      </w:r>
      <w:r>
        <w:rPr>
          <w:rStyle w:val="number"/>
          <w:color w:val="000000"/>
        </w:rPr>
        <w:t xml:space="preserve"> № 849</w:t>
      </w:r>
    </w:p>
    <w:p w:rsidR="00000000" w:rsidRDefault="00000000">
      <w:pPr>
        <w:pStyle w:val="titlencpi"/>
        <w:rPr>
          <w:rFonts w:ascii="Arial" w:hAnsi="Arial" w:cs="Arial"/>
          <w:color w:val="000000"/>
        </w:rPr>
      </w:pPr>
      <w:r>
        <w:rPr>
          <w:rFonts w:ascii="Arial" w:hAnsi="Arial" w:cs="Arial"/>
          <w:color w:val="000080"/>
        </w:rPr>
        <w:t>О некоторых вопросах подтверждения соответствия в Национальной системе подтверждения соответствия Республики Беларусь</w:t>
      </w:r>
    </w:p>
    <w:p w:rsidR="00000000" w:rsidRDefault="00000000">
      <w:pPr>
        <w:pStyle w:val="changei"/>
        <w:rPr>
          <w:color w:val="000000"/>
        </w:rPr>
      </w:pPr>
      <w:r>
        <w:rPr>
          <w:color w:val="000000"/>
        </w:rPr>
        <w:t>Изменения и дополнения:</w:t>
      </w:r>
    </w:p>
    <w:p w:rsidR="00000000" w:rsidRDefault="00000000">
      <w:pPr>
        <w:pStyle w:val="changeadd"/>
        <w:rPr>
          <w:color w:val="000000"/>
        </w:rPr>
      </w:pPr>
      <w:r>
        <w:rPr>
          <w:color w:val="000000"/>
        </w:rPr>
        <w:t>Постановление Совета Министров Республики Беларусь от 27 января 2017 г. № 77 (Национальный правовой Интернет-портал Республики Беларусь, 01.02.2017, 5/43292);</w:t>
      </w:r>
    </w:p>
    <w:p w:rsidR="00000000" w:rsidRDefault="00000000">
      <w:pPr>
        <w:pStyle w:val="changeadd"/>
        <w:rPr>
          <w:color w:val="000000"/>
        </w:rPr>
      </w:pPr>
      <w:r>
        <w:rPr>
          <w:color w:val="000000"/>
        </w:rPr>
        <w:t>Постановление Совета Министров Республики Беларусь от 26 февраля 2018 г. № 156 (Национальный правовой Интернет-портал Республики Беларусь, 06.03.2018, 5/44889) - внесены изменения и дополнения, вступившие в силу 7 марта 2018 г., за исключением изменений и дополнений, которые вступят в силу 7 июня 2018 г.;</w:t>
      </w:r>
    </w:p>
    <w:p w:rsidR="00000000" w:rsidRDefault="00000000">
      <w:pPr>
        <w:pStyle w:val="changeadd"/>
        <w:rPr>
          <w:color w:val="000000"/>
        </w:rPr>
      </w:pPr>
      <w:r>
        <w:rPr>
          <w:color w:val="000000"/>
        </w:rPr>
        <w:t>Постановление Совета Министров Республики Беларусь от 26 февраля 2018 г. № 156 (Национальный правовой Интернет-портал Республики Беларусь, 06.03.2018, 5/44889) - внесены изменения и дополнения, вступившие в силу 7 марта 2018 г. и 7 июня 2018 г.;</w:t>
      </w:r>
    </w:p>
    <w:p w:rsidR="00000000" w:rsidRDefault="00000000">
      <w:pPr>
        <w:pStyle w:val="changeadd"/>
        <w:rPr>
          <w:color w:val="000000"/>
        </w:rPr>
      </w:pPr>
      <w:r>
        <w:rPr>
          <w:color w:val="000000"/>
        </w:rPr>
        <w:t>Постановление Совета Министров Республики Беларусь от 20 июня 2018 г. № 469 (Национальный правовой Интернет-портал Республики Беларусь, 23.06.2018, 5/45302) - вступает в силу 1 января 2019 г.;</w:t>
      </w:r>
    </w:p>
    <w:p w:rsidR="00000000" w:rsidRDefault="00000000">
      <w:pPr>
        <w:pStyle w:val="changeadd"/>
        <w:rPr>
          <w:color w:val="000000"/>
        </w:rPr>
      </w:pPr>
      <w:r>
        <w:rPr>
          <w:color w:val="000000"/>
        </w:rPr>
        <w:t>Постановление Совета Министров Республики Беларусь от 23 октября 2018 г. № 759 (Национальный правовой Интернет-портал Республики Беларусь, 26.10.2018, 5/45730) - внесены изменения и дополнения, вступившие в силу 1 октября 2018 г., за исключением изменений и дополнений, которые вступят в силу 27 января 2019 г.;</w:t>
      </w:r>
    </w:p>
    <w:p w:rsidR="00000000" w:rsidRDefault="00000000">
      <w:pPr>
        <w:pStyle w:val="changeadd"/>
        <w:rPr>
          <w:color w:val="000000"/>
        </w:rPr>
      </w:pPr>
      <w:r>
        <w:rPr>
          <w:color w:val="000000"/>
        </w:rPr>
        <w:t>Постановление Совета Министров Республики Беларусь от 23 октября 2018 г. № 759 (Национальный правовой Интернет-портал Республики Беларусь, 26.10.2018, 5/45730) - внесены изменения и дополнения, вступившие в силу 1 октября 2018 г. и 27 января 2019 г.;</w:t>
      </w:r>
    </w:p>
    <w:p w:rsidR="00000000" w:rsidRDefault="00000000">
      <w:pPr>
        <w:pStyle w:val="changeadd"/>
        <w:rPr>
          <w:color w:val="000000"/>
        </w:rPr>
      </w:pPr>
      <w:r>
        <w:rPr>
          <w:color w:val="000000"/>
        </w:rPr>
        <w:t>Постановление Совета Министров Республики Беларусь от 18 октября 2019 г. № 706 (Национальный правовой Интернет-портал Республики Беларусь, 23.10.2019, 5/47212) - внесены изменения и дополнения, вступившие в силу 24 октября 2019 г., за исключением изменений и дополнений, которые вступят в силу 24 апреля 2020 г.;</w:t>
      </w:r>
    </w:p>
    <w:p w:rsidR="00000000" w:rsidRDefault="00000000">
      <w:pPr>
        <w:pStyle w:val="changeadd"/>
        <w:rPr>
          <w:color w:val="000000"/>
        </w:rPr>
      </w:pPr>
      <w:r>
        <w:rPr>
          <w:color w:val="000000"/>
        </w:rPr>
        <w:t>Постановление Совета Министров Республики Беларусь от 18 октября 2019 г. № 706 (Национальный правовой Интернет-портал Республики Беларусь, 23.10.2019, 5/47212) - внесены изменения и дополнения, вступившие в силу 24 октября 2019 г. и 24 апреля 2020 г.;</w:t>
      </w:r>
    </w:p>
    <w:p w:rsidR="00000000" w:rsidRDefault="00000000">
      <w:pPr>
        <w:pStyle w:val="changeadd"/>
        <w:rPr>
          <w:color w:val="000000"/>
        </w:rPr>
      </w:pPr>
      <w:r>
        <w:rPr>
          <w:color w:val="000000"/>
        </w:rPr>
        <w:t>Постановление Совета Министров Республики Беларусь от 16 декабря 2020 г. № 731 (Национальный правовой Интернет-портал Республики Беларусь, 18.12.2020, 5/48607) - внесены изменения и дополнения, вступившие в силу 19 декабря 2020 г., за исключением изменений и дополнений, которые вступят в силу 1 февраля 2021 г.;</w:t>
      </w:r>
    </w:p>
    <w:p w:rsidR="00000000" w:rsidRDefault="00000000">
      <w:pPr>
        <w:pStyle w:val="changeadd"/>
        <w:rPr>
          <w:color w:val="000000"/>
        </w:rPr>
      </w:pPr>
      <w:r>
        <w:rPr>
          <w:color w:val="000000"/>
        </w:rPr>
        <w:t xml:space="preserve">Постановление Совета Министров Республики Беларусь от 16 декабря 2020 г. № 731 (Национальный правовой Интернет-портал Республики </w:t>
      </w:r>
      <w:r>
        <w:rPr>
          <w:color w:val="000000"/>
        </w:rPr>
        <w:lastRenderedPageBreak/>
        <w:t>Беларусь, 18.12.2020, 5/48607) - внесены изменения и дополнения, вступившие в силу 19 декабря 2020 г. и 1 февраля 2021 г.;</w:t>
      </w:r>
    </w:p>
    <w:p w:rsidR="00000000" w:rsidRDefault="00000000">
      <w:pPr>
        <w:pStyle w:val="changeadd"/>
        <w:rPr>
          <w:color w:val="000000"/>
        </w:rPr>
      </w:pPr>
      <w:r>
        <w:rPr>
          <w:color w:val="000000"/>
        </w:rPr>
        <w:t>Постановление Совета Министров Республики Беларусь от 6 января 2022 г. № 8 (Национальный правовой Интернет-портал Республики Беларусь, 12.01.2022, 5/49841) - внесены изменения и дополнения, вступившие в силу 1 января 2022 г., за исключением изменений и дополнений, которые вступят в силу 1 апреля 2022 г.;</w:t>
      </w:r>
    </w:p>
    <w:p w:rsidR="00000000" w:rsidRDefault="00000000">
      <w:pPr>
        <w:pStyle w:val="changeadd"/>
        <w:rPr>
          <w:color w:val="000000"/>
        </w:rPr>
      </w:pPr>
      <w:r>
        <w:rPr>
          <w:color w:val="000000"/>
        </w:rPr>
        <w:t>Постановление Совета Министров Республики Беларусь от 6 января 2022 г. № 8 (Национальный правовой Интернет-портал Республики Беларусь, 12.01.2022, 5/49841) - внесены изменения и дополнения, вступившие в силу 1 января 2022 г. и 1 апреля 2022 г.;</w:t>
      </w:r>
    </w:p>
    <w:p w:rsidR="00000000" w:rsidRDefault="00000000">
      <w:pPr>
        <w:pStyle w:val="changeadd"/>
        <w:rPr>
          <w:color w:val="000000"/>
        </w:rPr>
      </w:pPr>
      <w:r>
        <w:rPr>
          <w:color w:val="000000"/>
        </w:rPr>
        <w:t>Постановление Совета Министров Республики Беларусь от 30 августа 2022 г. № 555 (Национальный правовой Интернет-портал Республики Беларусь, 02.09.2022, 5/50614);</w:t>
      </w:r>
    </w:p>
    <w:p w:rsidR="00000000" w:rsidRDefault="00000000">
      <w:pPr>
        <w:pStyle w:val="changeadd"/>
        <w:rPr>
          <w:color w:val="000000"/>
        </w:rPr>
      </w:pPr>
      <w:r>
        <w:rPr>
          <w:color w:val="000000"/>
        </w:rPr>
        <w:t>Постановление Совета Министров Республики Беларусь от 17 июня 2024 г. № 427 (Национальный правовой Интернет-портал Республики Беларусь, 19.06.2024, 5/53571)</w:t>
      </w:r>
    </w:p>
    <w:p w:rsidR="00000000" w:rsidRDefault="00000000">
      <w:pPr>
        <w:pStyle w:val="newncpi"/>
        <w:rPr>
          <w:color w:val="000000"/>
        </w:rPr>
      </w:pPr>
      <w:r>
        <w:rPr>
          <w:color w:val="000000"/>
        </w:rPr>
        <w:t> </w:t>
      </w:r>
    </w:p>
    <w:p w:rsidR="00000000" w:rsidRDefault="00000000">
      <w:pPr>
        <w:pStyle w:val="changei"/>
        <w:rPr>
          <w:color w:val="000000"/>
        </w:rPr>
      </w:pPr>
      <w:r>
        <w:rPr>
          <w:color w:val="000000"/>
        </w:rPr>
        <w:t>Приостановление действия:</w:t>
      </w:r>
    </w:p>
    <w:p w:rsidR="00000000" w:rsidRDefault="00000000">
      <w:pPr>
        <w:pStyle w:val="changeadd"/>
        <w:rPr>
          <w:color w:val="000000"/>
        </w:rPr>
      </w:pPr>
      <w:r>
        <w:rPr>
          <w:color w:val="000000"/>
        </w:rPr>
        <w:t>Постановление Совета Министров Республики Беларусь от 27 декабря 2022 г. № 916 (Национальный правовой Интернет-портал Республики Беларусь, 29.12.2022, 5/51156)</w:t>
      </w:r>
    </w:p>
    <w:p w:rsidR="00000000" w:rsidRDefault="00000000">
      <w:pPr>
        <w:pStyle w:val="newncpi"/>
        <w:rPr>
          <w:color w:val="000000"/>
        </w:rPr>
      </w:pPr>
      <w:r>
        <w:rPr>
          <w:color w:val="000000"/>
        </w:rPr>
        <w:t> </w:t>
      </w:r>
    </w:p>
    <w:p w:rsidR="00000000" w:rsidRDefault="00000000">
      <w:pPr>
        <w:pStyle w:val="changei"/>
        <w:rPr>
          <w:color w:val="000000"/>
        </w:rPr>
      </w:pPr>
      <w:r>
        <w:rPr>
          <w:color w:val="000000"/>
        </w:rPr>
        <w:t>Возобновление действия:</w:t>
      </w:r>
    </w:p>
    <w:p w:rsidR="00000000" w:rsidRDefault="00000000">
      <w:pPr>
        <w:pStyle w:val="changeadd"/>
        <w:rPr>
          <w:color w:val="000000"/>
        </w:rPr>
      </w:pPr>
      <w:r>
        <w:rPr>
          <w:color w:val="000000"/>
        </w:rPr>
        <w:t>Постановление Совета Министров Республики Беларусь от 26 сентября 2024 г. № 708 (Национальный правовой Интернет-портал Республики Беларусь, 28.09.2024, 5/53983)</w:t>
      </w:r>
    </w:p>
    <w:p w:rsidR="00000000" w:rsidRDefault="00000000">
      <w:pPr>
        <w:pStyle w:val="newncpi"/>
        <w:rPr>
          <w:color w:val="000000"/>
        </w:rPr>
      </w:pPr>
      <w:r>
        <w:rPr>
          <w:color w:val="000000"/>
        </w:rPr>
        <w:t> </w:t>
      </w:r>
    </w:p>
    <w:p w:rsidR="00000000" w:rsidRDefault="00000000">
      <w:pPr>
        <w:pStyle w:val="preamble"/>
        <w:rPr>
          <w:color w:val="000000"/>
        </w:rPr>
      </w:pPr>
      <w:r>
        <w:rPr>
          <w:color w:val="000000"/>
        </w:rPr>
        <w:t>На основании подпункта 1.1 пункта 1 Указа Президента Республики Беларусь от 20 июля 2016 г. № 278 «О мерах по обязательному подтверждению соответствия» Совет Министров Республики Беларусь ПОСТАНОВЛЯЕТ:</w:t>
      </w:r>
    </w:p>
    <w:p w:rsidR="00000000" w:rsidRDefault="00000000">
      <w:pPr>
        <w:pStyle w:val="point"/>
        <w:rPr>
          <w:color w:val="000000"/>
        </w:rPr>
      </w:pPr>
      <w:r>
        <w:rPr>
          <w:color w:val="000000"/>
        </w:rPr>
        <w:t>1. Утвердить перечень объектов обязательного подтверждения соответствия Национальной системы подтверждения соответствия Республики Беларусь (далее – перечень) (прилагается).</w:t>
      </w:r>
    </w:p>
    <w:p w:rsidR="00000000" w:rsidRDefault="00000000">
      <w:pPr>
        <w:pStyle w:val="point"/>
        <w:rPr>
          <w:color w:val="000000"/>
        </w:rPr>
      </w:pPr>
      <w:bookmarkStart w:id="1" w:name="a38"/>
      <w:bookmarkEnd w:id="1"/>
      <w:r>
        <w:rPr>
          <w:color w:val="000000"/>
        </w:rPr>
        <w:t>2. Установить, что обязательное подтверждение соответствия вводится в действие в отношении:</w:t>
      </w:r>
    </w:p>
    <w:p w:rsidR="00000000" w:rsidRDefault="00000000">
      <w:pPr>
        <w:pStyle w:val="newncpi"/>
        <w:rPr>
          <w:color w:val="000000"/>
        </w:rPr>
      </w:pPr>
      <w:r>
        <w:rPr>
          <w:color w:val="000000"/>
        </w:rPr>
        <w:t>продукции, указанной в подпунктах 3.1–3.5, 3.8, 3.10 (за исключением продукции «микроволновые печи») пункта 3 перечня, – с 1 июля 2018 г.;</w:t>
      </w:r>
    </w:p>
    <w:p w:rsidR="00000000" w:rsidRDefault="00000000">
      <w:pPr>
        <w:pStyle w:val="newncpi"/>
        <w:rPr>
          <w:color w:val="000000"/>
        </w:rPr>
      </w:pPr>
      <w:r>
        <w:rPr>
          <w:color w:val="000000"/>
        </w:rPr>
        <w:t>продукции, указанной в подпункте 3.7 пункта 3 и пункте 4 перечня, – с 1 сентября 2017 г.;</w:t>
      </w:r>
    </w:p>
    <w:p w:rsidR="00000000" w:rsidRDefault="00000000">
      <w:pPr>
        <w:pStyle w:val="newncpi"/>
        <w:rPr>
          <w:color w:val="000000"/>
        </w:rPr>
      </w:pPr>
      <w:r>
        <w:rPr>
          <w:color w:val="000000"/>
        </w:rPr>
        <w:t>продукции, указанной в подпункте 3.9 пункта 3 перечня, продукции «микроволновые печи», указанной в подпункте 3.10 пункта 3 перечня, – с 1 января 2019 г.;</w:t>
      </w:r>
    </w:p>
    <w:p w:rsidR="00000000" w:rsidRDefault="00000000">
      <w:pPr>
        <w:pStyle w:val="newncpi"/>
        <w:rPr>
          <w:color w:val="000000"/>
        </w:rPr>
      </w:pPr>
      <w:bookmarkStart w:id="2" w:name="a52"/>
      <w:bookmarkEnd w:id="2"/>
      <w:r>
        <w:rPr>
          <w:color w:val="000000"/>
        </w:rPr>
        <w:t>продукции, указанной в пунктах 5 и 9 перечня, – с 1 февраля 2017 г.;</w:t>
      </w:r>
    </w:p>
    <w:p w:rsidR="00000000" w:rsidRDefault="00000000">
      <w:pPr>
        <w:pStyle w:val="newncpi"/>
        <w:rPr>
          <w:color w:val="000000"/>
        </w:rPr>
      </w:pPr>
      <w:bookmarkStart w:id="3" w:name="a53"/>
      <w:bookmarkEnd w:id="3"/>
      <w:r>
        <w:rPr>
          <w:color w:val="000000"/>
        </w:rPr>
        <w:t>продукции, указанной в пунктах 6 и 7 перечня, – с 1 апреля 2022 г.;</w:t>
      </w:r>
    </w:p>
    <w:p w:rsidR="00000000" w:rsidRDefault="00000000">
      <w:pPr>
        <w:pStyle w:val="point"/>
        <w:rPr>
          <w:color w:val="000000"/>
        </w:rPr>
      </w:pPr>
      <w:r>
        <w:rPr>
          <w:color w:val="000000"/>
        </w:rPr>
        <w:lastRenderedPageBreak/>
        <w:t>профессиональной компетентности персонала, указанной в пункте 13 перечня, – с 1 января 2018 г.;</w:t>
      </w:r>
    </w:p>
    <w:p w:rsidR="00000000" w:rsidRDefault="00000000">
      <w:pPr>
        <w:pStyle w:val="newncpi"/>
        <w:rPr>
          <w:color w:val="000000"/>
        </w:rPr>
      </w:pPr>
      <w:r>
        <w:rPr>
          <w:color w:val="000000"/>
        </w:rPr>
        <w:t>услуг, указанных в пункте 12 перечня, – с 22 сентября 2022 г.</w:t>
      </w:r>
    </w:p>
    <w:p w:rsidR="00000000" w:rsidRDefault="00000000">
      <w:pPr>
        <w:pStyle w:val="point"/>
        <w:rPr>
          <w:color w:val="000000"/>
        </w:rPr>
      </w:pPr>
      <w:r>
        <w:rPr>
          <w:color w:val="000000"/>
        </w:rPr>
        <w:t>2</w:t>
      </w:r>
      <w:r>
        <w:rPr>
          <w:color w:val="000000"/>
          <w:sz w:val="18"/>
          <w:szCs w:val="18"/>
          <w:vertAlign w:val="superscript"/>
        </w:rPr>
        <w:t>1</w:t>
      </w:r>
      <w:r>
        <w:rPr>
          <w:color w:val="000000"/>
        </w:rPr>
        <w:t>. Установить, что изготовитель или уполномоченное изготовителем лицо либо продавец (поставщик), принимающие декларацию соответствия, вправе вместо установленной перечнем формы подтверждения соответствия «декларирование соответствия» выбрать форму подтверждения соответствия «сертификация».</w:t>
      </w:r>
    </w:p>
    <w:p w:rsidR="00000000" w:rsidRDefault="00000000">
      <w:pPr>
        <w:pStyle w:val="point"/>
        <w:rPr>
          <w:color w:val="000000"/>
        </w:rPr>
      </w:pPr>
      <w:bookmarkStart w:id="4" w:name="a18"/>
      <w:bookmarkEnd w:id="4"/>
      <w:r>
        <w:rPr>
          <w:color w:val="000000"/>
        </w:rPr>
        <w:t>3. Действие настоящего постановления не распространяется на:</w:t>
      </w:r>
    </w:p>
    <w:p w:rsidR="00000000" w:rsidRDefault="00000000">
      <w:pPr>
        <w:pStyle w:val="newncpi"/>
        <w:rPr>
          <w:color w:val="000000"/>
        </w:rPr>
      </w:pPr>
      <w:r>
        <w:rPr>
          <w:color w:val="000000"/>
        </w:rPr>
        <w:t>продукцию, бывшую в эксплуатации (потреблении);</w:t>
      </w:r>
    </w:p>
    <w:p w:rsidR="00000000" w:rsidRDefault="00000000">
      <w:pPr>
        <w:pStyle w:val="newncpi"/>
        <w:rPr>
          <w:color w:val="000000"/>
        </w:rPr>
      </w:pPr>
      <w:r>
        <w:rPr>
          <w:color w:val="000000"/>
        </w:rPr>
        <w:t>продукцию, ввезенную юридическими лицами и индивидуальными предпринимателями в качестве комплектующих изделий, материалов и сырья для использования в собственном производстве при наличии у них сертификатов соответствия Национальной системы подтверждения соответствия Республики Беларусь на готовую продукцию, производимую с применением указанных комплектующих изделий, материалов и сырья;</w:t>
      </w:r>
    </w:p>
    <w:p w:rsidR="00000000" w:rsidRDefault="00000000">
      <w:pPr>
        <w:pStyle w:val="newncpi"/>
        <w:rPr>
          <w:color w:val="000000"/>
        </w:rPr>
      </w:pPr>
      <w:r>
        <w:rPr>
          <w:color w:val="000000"/>
        </w:rPr>
        <w:t>продукцию, ввезенную в качестве образцов, экспонатов и рекламных материалов для проведения выставок, ярмарок, рекламных акций;</w:t>
      </w:r>
    </w:p>
    <w:p w:rsidR="00000000" w:rsidRDefault="00000000">
      <w:pPr>
        <w:pStyle w:val="newncpi"/>
        <w:rPr>
          <w:color w:val="000000"/>
        </w:rPr>
      </w:pPr>
      <w:r>
        <w:rPr>
          <w:color w:val="000000"/>
        </w:rPr>
        <w:t>продукцию, ввезенную в качестве проб и образцов для проведения испытаний в целях сертификации или принятия декларации о соответствии, испытаний и исследований в других целях;</w:t>
      </w:r>
    </w:p>
    <w:p w:rsidR="00000000" w:rsidRDefault="00000000">
      <w:pPr>
        <w:pStyle w:val="newncpi"/>
        <w:rPr>
          <w:color w:val="000000"/>
        </w:rPr>
      </w:pPr>
      <w:r>
        <w:rPr>
          <w:color w:val="000000"/>
        </w:rPr>
        <w:t>продукцию, ввезенную в единичных экземплярах (количествах), предусмотренных одним внешнеторговым договором, исключительно для собственного использования юридическими лицами и индивидуальными предпринимателями (в том числе для исследования, изучения и испытаний), ввезшими указанную продукцию;</w:t>
      </w:r>
    </w:p>
    <w:p w:rsidR="00000000" w:rsidRDefault="00000000">
      <w:pPr>
        <w:pStyle w:val="newncpi"/>
        <w:rPr>
          <w:color w:val="000000"/>
        </w:rPr>
      </w:pPr>
      <w:r>
        <w:rPr>
          <w:color w:val="000000"/>
        </w:rPr>
        <w:t>непродовольственную продукцию, ввезенную в качестве сырья, материалов и комплектующих для выполнения заказов зарубежных организаций по изготовлению продукции в соответствии с заключенными договорами, не предназначенную для реализации на территории Республики Беларусь;</w:t>
      </w:r>
    </w:p>
    <w:p w:rsidR="00000000" w:rsidRDefault="00000000">
      <w:pPr>
        <w:pStyle w:val="newncpi"/>
        <w:rPr>
          <w:color w:val="000000"/>
        </w:rPr>
      </w:pPr>
      <w:r>
        <w:rPr>
          <w:color w:val="000000"/>
        </w:rPr>
        <w:t>продукцию, ввезенную для использования в научно-исследовательских целях, в том числе для выполнения научно-исследовательских программ;</w:t>
      </w:r>
    </w:p>
    <w:p w:rsidR="00000000" w:rsidRDefault="00000000">
      <w:pPr>
        <w:pStyle w:val="newncpi"/>
        <w:rPr>
          <w:color w:val="000000"/>
        </w:rPr>
      </w:pPr>
      <w:r>
        <w:rPr>
          <w:color w:val="000000"/>
        </w:rPr>
        <w:t>продукцию, реализуемую в комиссионной торговле, принятую от граждан;</w:t>
      </w:r>
    </w:p>
    <w:p w:rsidR="00000000" w:rsidRDefault="00000000">
      <w:pPr>
        <w:pStyle w:val="newncpi"/>
        <w:rPr>
          <w:color w:val="000000"/>
        </w:rPr>
      </w:pPr>
      <w:r>
        <w:rPr>
          <w:color w:val="000000"/>
        </w:rPr>
        <w:t>товары (имущество), поступившие в качестве иностранной безвозмездной помощи и международной технической помощи;</w:t>
      </w:r>
    </w:p>
    <w:p w:rsidR="00000000" w:rsidRDefault="00000000">
      <w:pPr>
        <w:pStyle w:val="newncpi"/>
        <w:rPr>
          <w:color w:val="000000"/>
        </w:rPr>
      </w:pPr>
      <w:r>
        <w:rPr>
          <w:color w:val="000000"/>
        </w:rPr>
        <w:t>имущество, изъятое, арестованное, а также конфискованное по приговору (постановлению) суда либо обращенное в доход государства иным способом, имущество, на которое обращается взыскание в счет неисполненного налогового обязательства, неуплаченных пеней, и имущество, освобожденное от ареста органом, ведущим уголовный процесс;</w:t>
      </w:r>
    </w:p>
    <w:p w:rsidR="00000000" w:rsidRDefault="00000000">
      <w:pPr>
        <w:pStyle w:val="newncpi"/>
        <w:rPr>
          <w:color w:val="000000"/>
        </w:rPr>
      </w:pPr>
      <w:r>
        <w:rPr>
          <w:color w:val="000000"/>
        </w:rPr>
        <w:t>товары, предназначенные для предупреждения и ликвидации стихийных бедствий и иных чрезвычайных ситуаций;</w:t>
      </w:r>
    </w:p>
    <w:p w:rsidR="00000000" w:rsidRDefault="00000000">
      <w:pPr>
        <w:pStyle w:val="newncpi"/>
        <w:rPr>
          <w:color w:val="000000"/>
        </w:rPr>
      </w:pPr>
      <w:r>
        <w:rPr>
          <w:color w:val="000000"/>
        </w:rPr>
        <w:t>продукцию, предназначенную для реализации в магазинах беспошлинной торговли;</w:t>
      </w:r>
    </w:p>
    <w:p w:rsidR="00000000" w:rsidRDefault="00000000">
      <w:pPr>
        <w:pStyle w:val="newncpi"/>
        <w:rPr>
          <w:color w:val="000000"/>
        </w:rPr>
      </w:pPr>
      <w:r>
        <w:rPr>
          <w:color w:val="000000"/>
        </w:rPr>
        <w:t>продукцию, ввозимую для использования дипломатическими или консульскими представительствами иностранных государств, представительствами международных организаций или предназначенную исключительно для обеспечения деятельности представительств иностранных организаций, расположенных на территории Республики Беларусь;</w:t>
      </w:r>
    </w:p>
    <w:p w:rsidR="00000000" w:rsidRDefault="00000000">
      <w:pPr>
        <w:pStyle w:val="newncpi"/>
        <w:rPr>
          <w:color w:val="000000"/>
        </w:rPr>
      </w:pPr>
      <w:r>
        <w:rPr>
          <w:color w:val="000000"/>
        </w:rPr>
        <w:t>продукцию, изготовленную на территории Республики Беларусь или ввезенную на данную территорию до наступления срока, с которого вводится обязательное подтверждение соответствия конкретного вида продукции;</w:t>
      </w:r>
    </w:p>
    <w:p w:rsidR="00000000" w:rsidRDefault="00000000">
      <w:pPr>
        <w:pStyle w:val="newncpi"/>
        <w:rPr>
          <w:color w:val="000000"/>
        </w:rPr>
      </w:pPr>
      <w:r>
        <w:rPr>
          <w:color w:val="000000"/>
        </w:rPr>
        <w:t>продукцию, поставляемую на экспорт по внешнеторговым контрактам.</w:t>
      </w:r>
    </w:p>
    <w:p w:rsidR="00000000" w:rsidRDefault="00000000">
      <w:pPr>
        <w:pStyle w:val="point"/>
        <w:rPr>
          <w:color w:val="000000"/>
        </w:rPr>
      </w:pPr>
      <w:r>
        <w:rPr>
          <w:color w:val="000000"/>
        </w:rPr>
        <w:t>4. Предложить Государственному комитету судебных экспертиз совместно с Государственным комитетом по стандартизации разработать государственный стандарт Республики Беларусь, устанавливающий криминалистические требования к охотничьему и спортивному оружию, до 1 февраля 2017 г.</w:t>
      </w:r>
    </w:p>
    <w:p w:rsidR="00000000" w:rsidRDefault="00000000">
      <w:pPr>
        <w:pStyle w:val="point"/>
        <w:rPr>
          <w:color w:val="000000"/>
        </w:rPr>
      </w:pPr>
      <w:r>
        <w:rPr>
          <w:color w:val="000000"/>
        </w:rPr>
        <w:t>5. Определить, что при введении в действие технических нормативных правовых актов взамен указанных в перечне обязательное подтверждение соответствия осуществляется на соответствие введенным в действие техническим нормативным правовым актам до внесения соответствующих изменений в перечень.</w:t>
      </w:r>
    </w:p>
    <w:p w:rsidR="00000000" w:rsidRDefault="00000000">
      <w:pPr>
        <w:pStyle w:val="point"/>
        <w:rPr>
          <w:color w:val="000000"/>
        </w:rPr>
      </w:pPr>
      <w:r>
        <w:rPr>
          <w:color w:val="000000"/>
        </w:rPr>
        <w:t>6. Настоящее постановление вступает в силу с 23 октября 2016 г.</w:t>
      </w:r>
    </w:p>
    <w:p w:rsidR="00000000" w:rsidRDefault="0000000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676"/>
        <w:gridCol w:w="4679"/>
      </w:tblGrid>
      <w:tr w:rsidR="00000000">
        <w:tc>
          <w:tcPr>
            <w:tcW w:w="2499" w:type="pct"/>
            <w:tcBorders>
              <w:top w:val="nil"/>
              <w:left w:val="nil"/>
              <w:bottom w:val="nil"/>
              <w:right w:val="nil"/>
            </w:tcBorders>
            <w:tcMar>
              <w:top w:w="0" w:type="dxa"/>
              <w:left w:w="6" w:type="dxa"/>
              <w:bottom w:w="0" w:type="dxa"/>
              <w:right w:w="6" w:type="dxa"/>
            </w:tcMar>
            <w:vAlign w:val="bottom"/>
            <w:hideMark/>
          </w:tcPr>
          <w:p w:rsidR="00000000" w:rsidRDefault="00000000">
            <w:pPr>
              <w:pStyle w:val="newncpi0"/>
              <w:jc w:val="left"/>
              <w:rPr>
                <w:color w:val="000000"/>
              </w:rPr>
            </w:pPr>
            <w:r>
              <w:rPr>
                <w:rStyle w:val="post"/>
                <w:color w:val="000000"/>
              </w:rPr>
              <w:t>Премьер-министр Республики Беларусь</w:t>
            </w:r>
          </w:p>
        </w:tc>
        <w:tc>
          <w:tcPr>
            <w:tcW w:w="2501" w:type="pct"/>
            <w:tcBorders>
              <w:top w:val="nil"/>
              <w:left w:val="nil"/>
              <w:bottom w:val="nil"/>
              <w:right w:val="nil"/>
            </w:tcBorders>
            <w:tcMar>
              <w:top w:w="0" w:type="dxa"/>
              <w:left w:w="6" w:type="dxa"/>
              <w:bottom w:w="0" w:type="dxa"/>
              <w:right w:w="6" w:type="dxa"/>
            </w:tcMar>
            <w:vAlign w:val="bottom"/>
            <w:hideMark/>
          </w:tcPr>
          <w:p w:rsidR="00000000" w:rsidRDefault="00000000">
            <w:pPr>
              <w:pStyle w:val="newncpi0"/>
              <w:jc w:val="right"/>
              <w:rPr>
                <w:color w:val="000000"/>
              </w:rPr>
            </w:pPr>
            <w:r>
              <w:rPr>
                <w:rStyle w:val="pers"/>
                <w:color w:val="000000"/>
              </w:rPr>
              <w:t>А.Кобяков</w:t>
            </w:r>
          </w:p>
        </w:tc>
      </w:tr>
    </w:tbl>
    <w:p w:rsidR="00000000" w:rsidRDefault="00000000">
      <w:pPr>
        <w:pStyle w:val="newncpi"/>
        <w:rPr>
          <w:color w:val="000000"/>
        </w:rPr>
      </w:pPr>
      <w:r>
        <w:rPr>
          <w:color w:val="000000"/>
        </w:rPr>
        <w:t> </w:t>
      </w:r>
    </w:p>
    <w:p w:rsidR="00000000" w:rsidRDefault="00000000">
      <w:pPr>
        <w:pStyle w:val="newncpi"/>
        <w:rPr>
          <w:color w:val="000000"/>
        </w:rPr>
      </w:pPr>
      <w:r>
        <w:rPr>
          <w:color w:val="000000"/>
        </w:rPr>
        <w:t> </w:t>
      </w:r>
    </w:p>
    <w:p w:rsidR="00000000" w:rsidRDefault="00000000">
      <w:pPr>
        <w:rPr>
          <w:rFonts w:ascii="Arial" w:eastAsia="Times New Roman" w:hAnsi="Arial" w:cs="Arial"/>
          <w:color w:val="000000"/>
          <w:sz w:val="23"/>
          <w:szCs w:val="23"/>
        </w:rPr>
        <w:sectPr w:rsidR="00000000">
          <w:pgSz w:w="11906" w:h="16838"/>
          <w:pgMar w:top="1134" w:right="850" w:bottom="1134" w:left="1701" w:header="708" w:footer="708" w:gutter="0"/>
          <w:cols w:space="708"/>
          <w:docGrid w:linePitch="360"/>
        </w:sectPr>
      </w:pPr>
    </w:p>
    <w:p w:rsidR="00000000" w:rsidRDefault="0000000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7880"/>
        <w:gridCol w:w="1480"/>
      </w:tblGrid>
      <w:tr w:rsidR="00000000">
        <w:tc>
          <w:tcPr>
            <w:tcW w:w="4329" w:type="pct"/>
            <w:tcBorders>
              <w:top w:val="nil"/>
              <w:left w:val="nil"/>
              <w:bottom w:val="nil"/>
              <w:right w:val="nil"/>
            </w:tcBorders>
            <w:tcMar>
              <w:top w:w="0" w:type="dxa"/>
              <w:left w:w="6" w:type="dxa"/>
              <w:bottom w:w="0" w:type="dxa"/>
              <w:right w:w="6" w:type="dxa"/>
            </w:tcMar>
            <w:hideMark/>
          </w:tcPr>
          <w:p w:rsidR="00000000" w:rsidRDefault="00000000">
            <w:pPr>
              <w:pStyle w:val="newncpi"/>
              <w:rPr>
                <w:color w:val="000000"/>
              </w:rPr>
            </w:pPr>
            <w:r>
              <w:rPr>
                <w:color w:val="000000"/>
              </w:rPr>
              <w:t> </w:t>
            </w:r>
          </w:p>
        </w:tc>
        <w:tc>
          <w:tcPr>
            <w:tcW w:w="671" w:type="pct"/>
            <w:tcBorders>
              <w:top w:val="nil"/>
              <w:left w:val="nil"/>
              <w:bottom w:val="nil"/>
              <w:right w:val="nil"/>
            </w:tcBorders>
            <w:tcMar>
              <w:top w:w="0" w:type="dxa"/>
              <w:left w:w="6" w:type="dxa"/>
              <w:bottom w:w="0" w:type="dxa"/>
              <w:right w:w="6" w:type="dxa"/>
            </w:tcMar>
            <w:hideMark/>
          </w:tcPr>
          <w:p w:rsidR="00000000" w:rsidRDefault="00000000">
            <w:pPr>
              <w:pStyle w:val="capu1"/>
              <w:rPr>
                <w:color w:val="000000"/>
              </w:rPr>
            </w:pPr>
            <w:r>
              <w:rPr>
                <w:color w:val="000000"/>
              </w:rPr>
              <w:t>УТВЕРЖДЕНО</w:t>
            </w:r>
          </w:p>
          <w:p w:rsidR="00000000" w:rsidRDefault="00000000">
            <w:pPr>
              <w:pStyle w:val="cap1"/>
              <w:rPr>
                <w:color w:val="000000"/>
              </w:rPr>
            </w:pPr>
            <w:r>
              <w:rPr>
                <w:color w:val="000000"/>
              </w:rPr>
              <w:t xml:space="preserve">Постановление </w:t>
            </w:r>
            <w:r>
              <w:rPr>
                <w:color w:val="000000"/>
              </w:rPr>
              <w:br/>
              <w:t xml:space="preserve">Совета Министров </w:t>
            </w:r>
            <w:r>
              <w:rPr>
                <w:color w:val="000000"/>
              </w:rPr>
              <w:br/>
              <w:t>Республики Беларусь</w:t>
            </w:r>
            <w:r>
              <w:rPr>
                <w:color w:val="000000"/>
              </w:rPr>
              <w:br/>
              <w:t>21.10.2016 № 849</w:t>
            </w:r>
          </w:p>
        </w:tc>
      </w:tr>
    </w:tbl>
    <w:p w:rsidR="00000000" w:rsidRDefault="00000000">
      <w:pPr>
        <w:pStyle w:val="titleu"/>
        <w:rPr>
          <w:color w:val="000000"/>
        </w:rPr>
      </w:pPr>
      <w:bookmarkStart w:id="5" w:name="a2"/>
      <w:bookmarkEnd w:id="5"/>
      <w:r>
        <w:rPr>
          <w:color w:val="000000"/>
        </w:rPr>
        <w:t xml:space="preserve">ПЕРЕЧЕНЬ </w:t>
      </w:r>
      <w:r>
        <w:rPr>
          <w:color w:val="000000"/>
        </w:rPr>
        <w:br/>
        <w:t>объектов обязательного подтверждения соответствия Национальной системы подтверждения соответствия Республики Беларусь*</w:t>
      </w:r>
    </w:p>
    <w:tbl>
      <w:tblPr>
        <w:tblW w:w="5000" w:type="pct"/>
        <w:tblCellMar>
          <w:left w:w="0" w:type="dxa"/>
          <w:right w:w="0" w:type="dxa"/>
        </w:tblCellMar>
        <w:tblLook w:val="04A0" w:firstRow="1" w:lastRow="0" w:firstColumn="1" w:lastColumn="0" w:noHBand="0" w:noVBand="1"/>
      </w:tblPr>
      <w:tblGrid>
        <w:gridCol w:w="2154"/>
        <w:gridCol w:w="3460"/>
        <w:gridCol w:w="1843"/>
        <w:gridCol w:w="1300"/>
        <w:gridCol w:w="603"/>
      </w:tblGrid>
      <w:tr w:rsidR="00000000">
        <w:trPr>
          <w:gridAfter w:val="1"/>
          <w:wAfter w:w="1607" w:type="dxa"/>
          <w:trHeight w:val="238"/>
        </w:trPr>
        <w:tc>
          <w:tcPr>
            <w:tcW w:w="1443"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Наименование объекта обязательного подтверждения соответствия</w:t>
            </w:r>
          </w:p>
        </w:tc>
        <w:tc>
          <w:tcPr>
            <w:tcW w:w="2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Технические требования к объекту обязательного подтверждения соответствия</w:t>
            </w:r>
          </w:p>
        </w:tc>
        <w:tc>
          <w:tcPr>
            <w:tcW w:w="7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Код единой Товарной номенклатуры внешнеэкономической деятельности Евразийского экономического союза**</w:t>
            </w:r>
          </w:p>
        </w:tc>
        <w:tc>
          <w:tcPr>
            <w:tcW w:w="49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Форма подтверждения соответствия</w:t>
            </w:r>
          </w:p>
        </w:tc>
      </w:tr>
      <w:tr w:rsidR="00000000">
        <w:trPr>
          <w:gridAfter w:val="1"/>
          <w:wAfter w:w="1607" w:type="dxa"/>
          <w:trHeight w:val="238"/>
        </w:trPr>
        <w:tc>
          <w:tcPr>
            <w:tcW w:w="5000" w:type="pct"/>
            <w:gridSpan w:val="4"/>
            <w:tcBorders>
              <w:top w:val="single" w:sz="4" w:space="0" w:color="auto"/>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ГЛАВА 1</w:t>
            </w:r>
            <w:r>
              <w:rPr>
                <w:color w:val="000000"/>
              </w:rPr>
              <w:br/>
              <w:t>ПРОДУКЦИЯ</w:t>
            </w:r>
          </w:p>
        </w:tc>
      </w:tr>
      <w:tr w:rsidR="00000000">
        <w:trPr>
          <w:gridAfter w:val="1"/>
          <w:wAfter w:w="1607" w:type="dxa"/>
          <w:trHeight w:val="238"/>
        </w:trPr>
        <w:tc>
          <w:tcPr>
            <w:tcW w:w="14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1. Исключен</w:t>
            </w: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7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r>
      <w:tr w:rsidR="00000000">
        <w:trPr>
          <w:gridAfter w:val="1"/>
          <w:wAfter w:w="1607" w:type="dxa"/>
          <w:trHeight w:val="238"/>
        </w:trPr>
        <w:tc>
          <w:tcPr>
            <w:tcW w:w="14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2. Исключен</w:t>
            </w: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7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r>
      <w:tr w:rsidR="00000000">
        <w:trPr>
          <w:gridAfter w:val="1"/>
          <w:wAfter w:w="1607" w:type="dxa"/>
          <w:trHeight w:val="238"/>
        </w:trPr>
        <w:tc>
          <w:tcPr>
            <w:tcW w:w="5000" w:type="pct"/>
            <w:gridSpan w:val="4"/>
            <w:tcBorders>
              <w:top w:val="nil"/>
              <w:left w:val="nil"/>
              <w:bottom w:val="nil"/>
              <w:right w:val="nil"/>
            </w:tcBorders>
            <w:tcMar>
              <w:top w:w="0" w:type="dxa"/>
              <w:left w:w="6" w:type="dxa"/>
              <w:bottom w:w="0" w:type="dxa"/>
              <w:right w:w="6" w:type="dxa"/>
            </w:tcMar>
            <w:hideMark/>
          </w:tcPr>
          <w:p w:rsidR="00000000" w:rsidRDefault="00000000">
            <w:pPr>
              <w:pStyle w:val="rekviziti"/>
              <w:rPr>
                <w:color w:val="000000"/>
              </w:rPr>
            </w:pPr>
            <w:r>
              <w:rPr>
                <w:color w:val="000000"/>
              </w:rPr>
              <w:t>—————————————————————————</w:t>
            </w:r>
          </w:p>
          <w:p w:rsidR="00000000" w:rsidRDefault="00000000">
            <w:pPr>
              <w:pStyle w:val="rekviziti"/>
              <w:rPr>
                <w:color w:val="000000"/>
              </w:rPr>
            </w:pPr>
            <w:r>
              <w:rPr>
                <w:color w:val="000000"/>
              </w:rPr>
              <w:t>Действие пункта 3 приостановлено с 1 января 2023 г. в соответствии с пунктом 1 постановления Совета Министров Республики Беларусь от 27 декабря 2022 г. № 916</w:t>
            </w:r>
          </w:p>
          <w:p w:rsidR="00000000" w:rsidRDefault="00000000">
            <w:pPr>
              <w:pStyle w:val="rekviziti"/>
              <w:rPr>
                <w:color w:val="000000"/>
              </w:rPr>
            </w:pPr>
            <w:r>
              <w:rPr>
                <w:color w:val="000000"/>
              </w:rPr>
              <w:t>__________________________________________________</w:t>
            </w:r>
          </w:p>
          <w:p w:rsidR="00000000" w:rsidRDefault="00000000">
            <w:pPr>
              <w:pStyle w:val="rekviziti"/>
              <w:spacing w:before="120"/>
              <w:rPr>
                <w:color w:val="000000"/>
              </w:rPr>
            </w:pPr>
            <w:r>
              <w:rPr>
                <w:color w:val="000000"/>
              </w:rPr>
              <w:t> </w:t>
            </w:r>
          </w:p>
        </w:tc>
      </w:tr>
      <w:tr w:rsidR="00000000">
        <w:trPr>
          <w:gridAfter w:val="1"/>
          <w:wAfter w:w="1607" w:type="dxa"/>
          <w:trHeight w:val="238"/>
        </w:trPr>
        <w:tc>
          <w:tcPr>
            <w:tcW w:w="14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bookmarkStart w:id="6" w:name="a42"/>
            <w:bookmarkEnd w:id="6"/>
            <w:r>
              <w:rPr>
                <w:color w:val="000000"/>
              </w:rPr>
              <w:t>3. Бытовые электрические приборы с питанием от сети переменного тока***:</w:t>
            </w: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7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сертификация</w:t>
            </w:r>
          </w:p>
        </w:tc>
      </w:tr>
      <w:tr w:rsidR="00000000">
        <w:trPr>
          <w:gridAfter w:val="1"/>
          <w:wAfter w:w="1607" w:type="dxa"/>
          <w:trHeight w:val="238"/>
        </w:trPr>
        <w:tc>
          <w:tcPr>
            <w:tcW w:w="5000" w:type="pct"/>
            <w:gridSpan w:val="4"/>
            <w:tcBorders>
              <w:top w:val="nil"/>
              <w:left w:val="nil"/>
              <w:bottom w:val="nil"/>
              <w:right w:val="nil"/>
            </w:tcBorders>
            <w:tcMar>
              <w:top w:w="0" w:type="dxa"/>
              <w:left w:w="6" w:type="dxa"/>
              <w:bottom w:w="0" w:type="dxa"/>
              <w:right w:w="6" w:type="dxa"/>
            </w:tcMar>
            <w:hideMark/>
          </w:tcPr>
          <w:p w:rsidR="00000000" w:rsidRDefault="00000000">
            <w:pPr>
              <w:pStyle w:val="rekviziti"/>
              <w:rPr>
                <w:color w:val="000000"/>
              </w:rPr>
            </w:pPr>
            <w:r>
              <w:rPr>
                <w:color w:val="000000"/>
              </w:rPr>
              <w:t>—————————————————————————</w:t>
            </w:r>
          </w:p>
          <w:p w:rsidR="00000000" w:rsidRDefault="00000000">
            <w:pPr>
              <w:pStyle w:val="rekviziti"/>
              <w:rPr>
                <w:color w:val="000000"/>
              </w:rPr>
            </w:pPr>
            <w:r>
              <w:rPr>
                <w:color w:val="000000"/>
              </w:rPr>
              <w:t>Действие подпункта 3.1 пункта 3 возобновлено с 3 января 2025 г. в соответствии с пунктом 1 постановления Совета Министров Республики Беларусь от 26 сентября 2024 г. № 708</w:t>
            </w:r>
          </w:p>
          <w:p w:rsidR="00000000" w:rsidRDefault="00000000">
            <w:pPr>
              <w:pStyle w:val="rekviziti"/>
              <w:rPr>
                <w:color w:val="000000"/>
              </w:rPr>
            </w:pPr>
            <w:r>
              <w:rPr>
                <w:color w:val="000000"/>
              </w:rPr>
              <w:t>__________________________________________________</w:t>
            </w:r>
          </w:p>
          <w:p w:rsidR="00000000" w:rsidRDefault="00000000">
            <w:pPr>
              <w:pStyle w:val="rekviziti"/>
              <w:rPr>
                <w:color w:val="000000"/>
              </w:rPr>
            </w:pPr>
            <w:r>
              <w:rPr>
                <w:color w:val="000000"/>
              </w:rPr>
              <w:t> </w:t>
            </w:r>
          </w:p>
        </w:tc>
      </w:tr>
      <w:tr w:rsidR="00000000">
        <w:trPr>
          <w:gridAfter w:val="1"/>
          <w:wAfter w:w="1607" w:type="dxa"/>
          <w:trHeight w:val="238"/>
        </w:trPr>
        <w:tc>
          <w:tcPr>
            <w:tcW w:w="14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bookmarkStart w:id="7" w:name="a3"/>
            <w:bookmarkEnd w:id="7"/>
            <w:r>
              <w:rPr>
                <w:color w:val="000000"/>
              </w:rPr>
              <w:t>3.1. приборы холодильные бытовые: холодильники, морозильники и их комбинации</w:t>
            </w: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СТБ 2474 (раздел 4), СТБ 2475 (раздел 4)</w:t>
            </w:r>
          </w:p>
        </w:tc>
        <w:tc>
          <w:tcPr>
            <w:tcW w:w="7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8418</w:t>
            </w: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r>
      <w:tr w:rsidR="00000000">
        <w:trPr>
          <w:gridAfter w:val="1"/>
          <w:wAfter w:w="1607" w:type="dxa"/>
          <w:trHeight w:val="238"/>
        </w:trPr>
        <w:tc>
          <w:tcPr>
            <w:tcW w:w="5000" w:type="pct"/>
            <w:gridSpan w:val="4"/>
            <w:tcBorders>
              <w:top w:val="nil"/>
              <w:left w:val="nil"/>
              <w:bottom w:val="nil"/>
              <w:right w:val="nil"/>
            </w:tcBorders>
            <w:tcMar>
              <w:top w:w="0" w:type="dxa"/>
              <w:left w:w="6" w:type="dxa"/>
              <w:bottom w:w="0" w:type="dxa"/>
              <w:right w:w="6" w:type="dxa"/>
            </w:tcMar>
            <w:hideMark/>
          </w:tcPr>
          <w:p w:rsidR="00000000" w:rsidRDefault="00000000">
            <w:pPr>
              <w:pStyle w:val="rekviziti"/>
              <w:rPr>
                <w:color w:val="000000"/>
              </w:rPr>
            </w:pPr>
            <w:r>
              <w:rPr>
                <w:color w:val="000000"/>
              </w:rPr>
              <w:t>—————————————————————————</w:t>
            </w:r>
          </w:p>
          <w:p w:rsidR="00000000" w:rsidRDefault="00000000">
            <w:pPr>
              <w:pStyle w:val="rekviziti"/>
              <w:rPr>
                <w:color w:val="000000"/>
              </w:rPr>
            </w:pPr>
            <w:r>
              <w:rPr>
                <w:color w:val="000000"/>
              </w:rPr>
              <w:t>Действие подпункта 3.2 пункта 3 возобновлено с 3 января 2025 г. в соответствии с пунктом 1 постановления Совета Министров Республики Беларусь от 26 сентября 2024 г. № 708</w:t>
            </w:r>
          </w:p>
          <w:p w:rsidR="00000000" w:rsidRDefault="00000000">
            <w:pPr>
              <w:pStyle w:val="rekviziti"/>
              <w:rPr>
                <w:color w:val="000000"/>
              </w:rPr>
            </w:pPr>
            <w:r>
              <w:rPr>
                <w:color w:val="000000"/>
              </w:rPr>
              <w:t>__________________________________________________</w:t>
            </w:r>
          </w:p>
          <w:p w:rsidR="00000000" w:rsidRDefault="00000000">
            <w:pPr>
              <w:pStyle w:val="rekviziti"/>
              <w:rPr>
                <w:color w:val="000000"/>
              </w:rPr>
            </w:pPr>
            <w:r>
              <w:rPr>
                <w:color w:val="000000"/>
              </w:rPr>
              <w:t> </w:t>
            </w:r>
          </w:p>
        </w:tc>
      </w:tr>
      <w:tr w:rsidR="00000000">
        <w:trPr>
          <w:gridAfter w:val="1"/>
          <w:wAfter w:w="1607" w:type="dxa"/>
          <w:trHeight w:val="238"/>
        </w:trPr>
        <w:tc>
          <w:tcPr>
            <w:tcW w:w="14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3.2. электродуховки (включая интегрированные в кухонные плиты), за исключением переносных и не оснащенных регулируемым терморегулятором (термостатом); электрические конфорочные панели (включая интегрированные в кухонные плиты), за исключением переносных</w:t>
            </w: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СТБ 2477 (раздел 4), СТБ 2478 (раздел 4)</w:t>
            </w:r>
          </w:p>
        </w:tc>
        <w:tc>
          <w:tcPr>
            <w:tcW w:w="7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8516 60</w:t>
            </w: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r>
      <w:tr w:rsidR="00000000">
        <w:trPr>
          <w:gridAfter w:val="1"/>
          <w:wAfter w:w="1607" w:type="dxa"/>
          <w:trHeight w:val="238"/>
        </w:trPr>
        <w:tc>
          <w:tcPr>
            <w:tcW w:w="14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3.3. кондиционеры воздуха с номинальной мощностью до 12 кВт, за исключением мульти-сплит-систем кондиционирования воздуха</w:t>
            </w: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СТБ 2462 (разделы 4, 5), СТБ 2480 (раздел 4)</w:t>
            </w:r>
          </w:p>
        </w:tc>
        <w:tc>
          <w:tcPr>
            <w:tcW w:w="7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8415 10</w:t>
            </w:r>
            <w:r>
              <w:rPr>
                <w:color w:val="000000"/>
              </w:rPr>
              <w:br/>
              <w:t>8415 81 009 0</w:t>
            </w:r>
            <w:r>
              <w:rPr>
                <w:color w:val="000000"/>
              </w:rPr>
              <w:br/>
              <w:t>8415 82 000 0</w:t>
            </w:r>
            <w:r>
              <w:rPr>
                <w:color w:val="000000"/>
              </w:rPr>
              <w:br/>
              <w:t>8415 83 000 0</w:t>
            </w: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r>
      <w:tr w:rsidR="00000000">
        <w:trPr>
          <w:gridAfter w:val="1"/>
          <w:wAfter w:w="1607" w:type="dxa"/>
          <w:trHeight w:val="238"/>
        </w:trPr>
        <w:tc>
          <w:tcPr>
            <w:tcW w:w="14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3.4. машины посудомоечные</w:t>
            </w: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СТБ 2455 (раздел 4), СТБ 2456 (раздел 4)</w:t>
            </w:r>
          </w:p>
        </w:tc>
        <w:tc>
          <w:tcPr>
            <w:tcW w:w="7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8422 11 000 0</w:t>
            </w: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r>
      <w:tr w:rsidR="00000000">
        <w:trPr>
          <w:gridAfter w:val="1"/>
          <w:wAfter w:w="1607" w:type="dxa"/>
          <w:trHeight w:val="238"/>
        </w:trPr>
        <w:tc>
          <w:tcPr>
            <w:tcW w:w="4504" w:type="pct"/>
            <w:gridSpan w:val="3"/>
            <w:tcBorders>
              <w:top w:val="nil"/>
              <w:left w:val="nil"/>
              <w:bottom w:val="nil"/>
              <w:right w:val="nil"/>
            </w:tcBorders>
            <w:tcMar>
              <w:top w:w="0" w:type="dxa"/>
              <w:left w:w="6" w:type="dxa"/>
              <w:bottom w:w="0" w:type="dxa"/>
              <w:right w:w="6" w:type="dxa"/>
            </w:tcMar>
            <w:hideMark/>
          </w:tcPr>
          <w:p w:rsidR="00000000" w:rsidRDefault="00000000">
            <w:pPr>
              <w:pStyle w:val="rekviziti"/>
              <w:rPr>
                <w:color w:val="000000"/>
              </w:rPr>
            </w:pPr>
            <w:r>
              <w:rPr>
                <w:color w:val="000000"/>
              </w:rPr>
              <w:t>—————————————————————————</w:t>
            </w:r>
          </w:p>
          <w:p w:rsidR="00000000" w:rsidRDefault="00000000">
            <w:pPr>
              <w:pStyle w:val="rekviziti"/>
              <w:rPr>
                <w:color w:val="000000"/>
              </w:rPr>
            </w:pPr>
            <w:r>
              <w:rPr>
                <w:color w:val="000000"/>
              </w:rPr>
              <w:t>Действие подпункта 3.5 пункта 3 возобновлено с 3 января 2025 г. в соответствии с пунктом 1 постановления Совета Министров Республики Беларусь от 26 сентября 2024 г. № 708</w:t>
            </w:r>
          </w:p>
          <w:p w:rsidR="00000000" w:rsidRDefault="00000000">
            <w:pPr>
              <w:pStyle w:val="rekviziti"/>
              <w:rPr>
                <w:color w:val="000000"/>
              </w:rPr>
            </w:pPr>
            <w:r>
              <w:rPr>
                <w:color w:val="000000"/>
              </w:rPr>
              <w:t>__________________________________________________</w:t>
            </w:r>
          </w:p>
          <w:p w:rsidR="00000000" w:rsidRDefault="00000000">
            <w:pPr>
              <w:pStyle w:val="rekviziti"/>
              <w:rPr>
                <w:color w:val="000000"/>
              </w:rPr>
            </w:pPr>
            <w:r>
              <w:rPr>
                <w:color w:val="000000"/>
              </w:rPr>
              <w:t> </w:t>
            </w:r>
          </w:p>
        </w:tc>
        <w:tc>
          <w:tcPr>
            <w:tcW w:w="496" w:type="pct"/>
            <w:tcBorders>
              <w:top w:val="nil"/>
              <w:left w:val="nil"/>
              <w:bottom w:val="nil"/>
              <w:right w:val="nil"/>
            </w:tcBorders>
            <w:tcMar>
              <w:top w:w="0" w:type="dxa"/>
              <w:left w:w="6" w:type="dxa"/>
              <w:bottom w:w="0" w:type="dxa"/>
              <w:right w:w="6" w:type="dxa"/>
            </w:tcMar>
            <w:vAlign w:val="center"/>
            <w:hideMark/>
          </w:tcPr>
          <w:p w:rsidR="00000000" w:rsidRDefault="00000000">
            <w:pPr>
              <w:pStyle w:val="rekviziti"/>
              <w:rPr>
                <w:color w:val="000000"/>
              </w:rPr>
            </w:pPr>
            <w:r>
              <w:rPr>
                <w:color w:val="000000"/>
              </w:rPr>
              <w:t> </w:t>
            </w:r>
          </w:p>
        </w:tc>
      </w:tr>
      <w:tr w:rsidR="00000000">
        <w:trPr>
          <w:gridAfter w:val="1"/>
          <w:wAfter w:w="1607" w:type="dxa"/>
          <w:trHeight w:val="238"/>
        </w:trPr>
        <w:tc>
          <w:tcPr>
            <w:tcW w:w="14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bookmarkStart w:id="8" w:name="a55"/>
            <w:bookmarkEnd w:id="8"/>
            <w:r>
              <w:rPr>
                <w:color w:val="000000"/>
              </w:rPr>
              <w:t>3.5. машины стиральные</w:t>
            </w: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СТБ 2453 (раздел 4), СТБ 2457 (раздел 4)</w:t>
            </w:r>
          </w:p>
        </w:tc>
        <w:tc>
          <w:tcPr>
            <w:tcW w:w="7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8450</w:t>
            </w:r>
          </w:p>
        </w:tc>
        <w:tc>
          <w:tcPr>
            <w:tcW w:w="496" w:type="pct"/>
            <w:tcBorders>
              <w:top w:val="nil"/>
              <w:left w:val="nil"/>
              <w:bottom w:val="nil"/>
              <w:right w:val="nil"/>
            </w:tcBorders>
            <w:tcMar>
              <w:top w:w="0" w:type="dxa"/>
              <w:left w:w="6" w:type="dxa"/>
              <w:bottom w:w="0" w:type="dxa"/>
              <w:right w:w="6" w:type="dxa"/>
            </w:tcMar>
            <w:vAlign w:val="center"/>
            <w:hideMark/>
          </w:tcPr>
          <w:p w:rsidR="00000000" w:rsidRDefault="00000000">
            <w:pPr>
              <w:pStyle w:val="newncpi"/>
              <w:rPr>
                <w:color w:val="000000"/>
              </w:rPr>
            </w:pPr>
            <w:r>
              <w:rPr>
                <w:color w:val="000000"/>
              </w:rPr>
              <w:t> </w:t>
            </w:r>
          </w:p>
        </w:tc>
      </w:tr>
      <w:tr w:rsidR="00000000">
        <w:trPr>
          <w:gridAfter w:val="1"/>
          <w:wAfter w:w="1607" w:type="dxa"/>
          <w:trHeight w:val="238"/>
        </w:trPr>
        <w:tc>
          <w:tcPr>
            <w:tcW w:w="1443" w:type="pct"/>
            <w:tcBorders>
              <w:top w:val="nil"/>
              <w:left w:val="nil"/>
              <w:bottom w:val="nil"/>
              <w:right w:val="nil"/>
            </w:tcBorders>
            <w:tcMar>
              <w:top w:w="0" w:type="dxa"/>
              <w:left w:w="6" w:type="dxa"/>
              <w:bottom w:w="0" w:type="dxa"/>
              <w:right w:w="6" w:type="dxa"/>
            </w:tcMar>
            <w:hideMark/>
          </w:tcPr>
          <w:p w:rsidR="00000000" w:rsidRDefault="00000000">
            <w:pPr>
              <w:rPr>
                <w:color w:val="000000"/>
              </w:rPr>
            </w:pPr>
          </w:p>
        </w:tc>
        <w:tc>
          <w:tcPr>
            <w:tcW w:w="2318" w:type="pct"/>
            <w:tcBorders>
              <w:top w:val="nil"/>
              <w:left w:val="nil"/>
              <w:bottom w:val="nil"/>
              <w:right w:val="nil"/>
            </w:tcBorders>
            <w:tcMar>
              <w:top w:w="0" w:type="dxa"/>
              <w:left w:w="6" w:type="dxa"/>
              <w:bottom w:w="0" w:type="dxa"/>
              <w:right w:w="6" w:type="dxa"/>
            </w:tcMar>
            <w:hideMark/>
          </w:tcPr>
          <w:p w:rsidR="00000000" w:rsidRDefault="00000000">
            <w:pPr>
              <w:rPr>
                <w:rFonts w:eastAsia="Times New Roman"/>
                <w:sz w:val="20"/>
                <w:szCs w:val="20"/>
              </w:rPr>
            </w:pPr>
          </w:p>
        </w:tc>
        <w:tc>
          <w:tcPr>
            <w:tcW w:w="743" w:type="pct"/>
            <w:tcBorders>
              <w:top w:val="nil"/>
              <w:left w:val="nil"/>
              <w:bottom w:val="nil"/>
              <w:right w:val="nil"/>
            </w:tcBorders>
            <w:tcMar>
              <w:top w:w="0" w:type="dxa"/>
              <w:left w:w="6" w:type="dxa"/>
              <w:bottom w:w="0" w:type="dxa"/>
              <w:right w:w="6" w:type="dxa"/>
            </w:tcMar>
            <w:hideMark/>
          </w:tcPr>
          <w:p w:rsidR="00000000" w:rsidRDefault="00000000">
            <w:pPr>
              <w:rPr>
                <w:rFonts w:eastAsia="Times New Roman"/>
                <w:sz w:val="20"/>
                <w:szCs w:val="20"/>
              </w:rPr>
            </w:pPr>
          </w:p>
        </w:tc>
        <w:tc>
          <w:tcPr>
            <w:tcW w:w="496" w:type="pct"/>
            <w:vMerge w:val="restart"/>
            <w:tcBorders>
              <w:top w:val="nil"/>
              <w:left w:val="nil"/>
              <w:bottom w:val="nil"/>
              <w:right w:val="nil"/>
            </w:tcBorders>
            <w:tcMar>
              <w:top w:w="0" w:type="dxa"/>
              <w:left w:w="6" w:type="dxa"/>
              <w:bottom w:w="0" w:type="dxa"/>
              <w:right w:w="6" w:type="dxa"/>
            </w:tcMar>
            <w:vAlign w:val="center"/>
            <w:hideMark/>
          </w:tcPr>
          <w:p w:rsidR="00000000" w:rsidRDefault="00000000">
            <w:pPr>
              <w:pStyle w:val="newncpi"/>
              <w:rPr>
                <w:color w:val="000000"/>
              </w:rPr>
            </w:pPr>
            <w:r>
              <w:rPr>
                <w:color w:val="000000"/>
              </w:rPr>
              <w:t> </w:t>
            </w:r>
          </w:p>
        </w:tc>
      </w:tr>
      <w:tr w:rsidR="00000000">
        <w:trPr>
          <w:trHeight w:val="238"/>
        </w:trPr>
        <w:tc>
          <w:tcPr>
            <w:tcW w:w="14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3.6. исключен</w:t>
            </w: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7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0" w:type="auto"/>
            <w:vMerge/>
            <w:tcBorders>
              <w:top w:val="nil"/>
              <w:left w:val="nil"/>
              <w:bottom w:val="nil"/>
              <w:right w:val="nil"/>
            </w:tcBorders>
            <w:vAlign w:val="center"/>
            <w:hideMark/>
          </w:tcPr>
          <w:p w:rsidR="00000000" w:rsidRDefault="00000000">
            <w:pPr>
              <w:rPr>
                <w:color w:val="000000"/>
              </w:rPr>
            </w:pPr>
          </w:p>
        </w:tc>
        <w:tc>
          <w:tcPr>
            <w:tcW w:w="496" w:type="pct"/>
            <w:tcBorders>
              <w:top w:val="nil"/>
              <w:left w:val="nil"/>
              <w:bottom w:val="nil"/>
              <w:right w:val="nil"/>
            </w:tcBorders>
            <w:tcMar>
              <w:top w:w="0" w:type="dxa"/>
              <w:left w:w="6" w:type="dxa"/>
              <w:bottom w:w="0" w:type="dxa"/>
              <w:right w:w="6" w:type="dxa"/>
            </w:tcMar>
            <w:vAlign w:val="center"/>
            <w:hideMark/>
          </w:tcPr>
          <w:p w:rsidR="00000000" w:rsidRDefault="00000000">
            <w:pPr>
              <w:pStyle w:val="newncpi"/>
              <w:rPr>
                <w:color w:val="000000"/>
              </w:rPr>
            </w:pPr>
            <w:r>
              <w:rPr>
                <w:color w:val="000000"/>
              </w:rPr>
              <w:t> </w:t>
            </w:r>
          </w:p>
        </w:tc>
      </w:tr>
      <w:tr w:rsidR="00000000">
        <w:trPr>
          <w:trHeight w:val="238"/>
        </w:trPr>
        <w:tc>
          <w:tcPr>
            <w:tcW w:w="1443" w:type="pct"/>
            <w:tcBorders>
              <w:top w:val="nil"/>
              <w:left w:val="nil"/>
              <w:bottom w:val="nil"/>
              <w:right w:val="nil"/>
            </w:tcBorders>
            <w:tcMar>
              <w:top w:w="0" w:type="dxa"/>
              <w:left w:w="6" w:type="dxa"/>
              <w:bottom w:w="0" w:type="dxa"/>
              <w:right w:w="6" w:type="dxa"/>
            </w:tcMar>
            <w:hideMark/>
          </w:tcPr>
          <w:p w:rsidR="00000000" w:rsidRDefault="00000000">
            <w:pPr>
              <w:rPr>
                <w:color w:val="000000"/>
              </w:rPr>
            </w:pPr>
          </w:p>
        </w:tc>
        <w:tc>
          <w:tcPr>
            <w:tcW w:w="2318" w:type="pct"/>
            <w:tcBorders>
              <w:top w:val="nil"/>
              <w:left w:val="nil"/>
              <w:bottom w:val="nil"/>
              <w:right w:val="nil"/>
            </w:tcBorders>
            <w:tcMar>
              <w:top w:w="0" w:type="dxa"/>
              <w:left w:w="6" w:type="dxa"/>
              <w:bottom w:w="0" w:type="dxa"/>
              <w:right w:w="6" w:type="dxa"/>
            </w:tcMar>
            <w:hideMark/>
          </w:tcPr>
          <w:p w:rsidR="00000000" w:rsidRDefault="00000000">
            <w:pPr>
              <w:rPr>
                <w:rFonts w:eastAsia="Times New Roman"/>
                <w:sz w:val="20"/>
                <w:szCs w:val="20"/>
              </w:rPr>
            </w:pPr>
          </w:p>
        </w:tc>
        <w:tc>
          <w:tcPr>
            <w:tcW w:w="743" w:type="pct"/>
            <w:tcBorders>
              <w:top w:val="nil"/>
              <w:left w:val="nil"/>
              <w:bottom w:val="nil"/>
              <w:right w:val="nil"/>
            </w:tcBorders>
            <w:tcMar>
              <w:top w:w="0" w:type="dxa"/>
              <w:left w:w="6" w:type="dxa"/>
              <w:bottom w:w="0" w:type="dxa"/>
              <w:right w:w="6" w:type="dxa"/>
            </w:tcMar>
            <w:hideMark/>
          </w:tcPr>
          <w:p w:rsidR="00000000" w:rsidRDefault="00000000">
            <w:pPr>
              <w:rPr>
                <w:rFonts w:eastAsia="Times New Roman"/>
                <w:sz w:val="20"/>
                <w:szCs w:val="20"/>
              </w:rPr>
            </w:pPr>
          </w:p>
        </w:tc>
        <w:tc>
          <w:tcPr>
            <w:tcW w:w="496" w:type="pct"/>
            <w:tcBorders>
              <w:top w:val="nil"/>
              <w:left w:val="nil"/>
              <w:bottom w:val="nil"/>
              <w:right w:val="nil"/>
            </w:tcBorders>
            <w:tcMar>
              <w:top w:w="0" w:type="dxa"/>
              <w:left w:w="6" w:type="dxa"/>
              <w:bottom w:w="0" w:type="dxa"/>
              <w:right w:w="6" w:type="dxa"/>
            </w:tcMar>
            <w:vAlign w:val="center"/>
            <w:hideMark/>
          </w:tcPr>
          <w:p w:rsidR="00000000" w:rsidRDefault="00000000">
            <w:pPr>
              <w:pStyle w:val="newncpi"/>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14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bookmarkStart w:id="9" w:name="a8"/>
            <w:bookmarkEnd w:id="9"/>
            <w:r>
              <w:rPr>
                <w:color w:val="000000"/>
              </w:rPr>
              <w:t>3.7. внешние источники питания, за исключением имеющих более одного выхода, с независимым преобразованием напряжения по каждому выходу</w:t>
            </w: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СТБ 2463 (раздел 4)</w:t>
            </w:r>
          </w:p>
        </w:tc>
        <w:tc>
          <w:tcPr>
            <w:tcW w:w="7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8504 40 300 8</w:t>
            </w:r>
            <w:r>
              <w:rPr>
                <w:color w:val="000000"/>
              </w:rPr>
              <w:br/>
              <w:t>из 8541 59 000 0</w:t>
            </w: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5000" w:type="pct"/>
            <w:gridSpan w:val="4"/>
            <w:tcBorders>
              <w:top w:val="nil"/>
              <w:left w:val="nil"/>
              <w:bottom w:val="nil"/>
              <w:right w:val="nil"/>
            </w:tcBorders>
            <w:tcMar>
              <w:top w:w="0" w:type="dxa"/>
              <w:left w:w="6" w:type="dxa"/>
              <w:bottom w:w="0" w:type="dxa"/>
              <w:right w:w="6" w:type="dxa"/>
            </w:tcMar>
            <w:hideMark/>
          </w:tcPr>
          <w:p w:rsidR="00000000" w:rsidRDefault="00000000">
            <w:pPr>
              <w:pStyle w:val="rekviziti"/>
              <w:rPr>
                <w:color w:val="000000"/>
              </w:rPr>
            </w:pPr>
            <w:r>
              <w:rPr>
                <w:color w:val="000000"/>
              </w:rPr>
              <w:t>—————————————————————————</w:t>
            </w:r>
          </w:p>
          <w:p w:rsidR="00000000" w:rsidRDefault="00000000">
            <w:pPr>
              <w:pStyle w:val="rekviziti"/>
              <w:rPr>
                <w:color w:val="000000"/>
              </w:rPr>
            </w:pPr>
            <w:r>
              <w:rPr>
                <w:color w:val="000000"/>
              </w:rPr>
              <w:t>Действие подпункта 3.8 пункта 3 возобновлено с 3 января 2025 г. в соответствии с пунктом 1 постановления Совета Министров Республики Беларусь от 26 сентября 2024 г. № 708</w:t>
            </w:r>
          </w:p>
          <w:p w:rsidR="00000000" w:rsidRDefault="00000000">
            <w:pPr>
              <w:pStyle w:val="rekviziti"/>
              <w:rPr>
                <w:color w:val="000000"/>
              </w:rPr>
            </w:pPr>
            <w:r>
              <w:rPr>
                <w:color w:val="000000"/>
              </w:rPr>
              <w:t>__________________________________________________</w:t>
            </w:r>
          </w:p>
          <w:p w:rsidR="00000000" w:rsidRDefault="00000000">
            <w:pPr>
              <w:pStyle w:val="rekviziti"/>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14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bookmarkStart w:id="10" w:name="a4"/>
            <w:bookmarkEnd w:id="10"/>
            <w:r>
              <w:rPr>
                <w:color w:val="000000"/>
              </w:rPr>
              <w:t>3.8. лампы с ненаправленным светоизлучением (лампы накаливания, люминесцентные, светодиодные)</w:t>
            </w: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СТБ 2460 (подпункт В.1.1 приложения В),</w:t>
            </w:r>
            <w:r>
              <w:rPr>
                <w:color w:val="000000"/>
              </w:rPr>
              <w:br/>
              <w:t>СТБ 2461 (разделы 4, 5),</w:t>
            </w:r>
            <w:r>
              <w:rPr>
                <w:color w:val="000000"/>
              </w:rPr>
              <w:br/>
              <w:t>СТБ 2476 (приложения Б.1, Б.3)</w:t>
            </w:r>
          </w:p>
        </w:tc>
        <w:tc>
          <w:tcPr>
            <w:tcW w:w="7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8539 22</w:t>
            </w:r>
            <w:r>
              <w:rPr>
                <w:color w:val="000000"/>
              </w:rPr>
              <w:br/>
              <w:t>8539 29</w:t>
            </w:r>
            <w:r>
              <w:rPr>
                <w:color w:val="000000"/>
              </w:rPr>
              <w:br/>
              <w:t>8539 31</w:t>
            </w:r>
            <w:r>
              <w:rPr>
                <w:color w:val="000000"/>
              </w:rPr>
              <w:br/>
              <w:t>8539 39 000 0</w:t>
            </w:r>
            <w:r>
              <w:rPr>
                <w:color w:val="000000"/>
              </w:rPr>
              <w:br/>
              <w:t>8539 52 000</w:t>
            </w: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14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bookmarkStart w:id="11" w:name="a36"/>
            <w:bookmarkEnd w:id="11"/>
            <w:r>
              <w:rPr>
                <w:color w:val="000000"/>
              </w:rPr>
              <w:t>3.9. телевизоры, телевизионные мониторы</w:t>
            </w: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СТБ 2269 (разделы 3, 4), СТБ 2479 (раздел 3)</w:t>
            </w:r>
          </w:p>
        </w:tc>
        <w:tc>
          <w:tcPr>
            <w:tcW w:w="7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8528</w:t>
            </w: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14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bookmarkStart w:id="12" w:name="a35"/>
            <w:bookmarkEnd w:id="12"/>
            <w:r>
              <w:rPr>
                <w:color w:val="000000"/>
              </w:rPr>
              <w:t xml:space="preserve">3.10. бытовое и офисное оборудование: </w:t>
            </w: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CТБ 2248 (раздел 4)</w:t>
            </w:r>
          </w:p>
        </w:tc>
        <w:tc>
          <w:tcPr>
            <w:tcW w:w="743"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8471</w:t>
            </w:r>
            <w:r>
              <w:rPr>
                <w:color w:val="000000"/>
              </w:rPr>
              <w:br/>
              <w:t>8516</w:t>
            </w:r>
            <w:r>
              <w:rPr>
                <w:color w:val="000000"/>
              </w:rPr>
              <w:br/>
              <w:t>8528</w:t>
            </w:r>
            <w:r>
              <w:rPr>
                <w:color w:val="000000"/>
              </w:rPr>
              <w:br/>
              <w:t>8443 31</w:t>
            </w:r>
            <w:r>
              <w:rPr>
                <w:color w:val="000000"/>
              </w:rPr>
              <w:br/>
              <w:t>8443 32</w:t>
            </w:r>
            <w:r>
              <w:rPr>
                <w:color w:val="000000"/>
              </w:rPr>
              <w:br/>
              <w:t>8518</w:t>
            </w:r>
            <w:r>
              <w:rPr>
                <w:color w:val="000000"/>
              </w:rPr>
              <w:br/>
              <w:t>9207</w:t>
            </w:r>
          </w:p>
          <w:p w:rsidR="00000000" w:rsidRDefault="00000000">
            <w:pPr>
              <w:pStyle w:val="table10"/>
              <w:spacing w:before="120"/>
              <w:rPr>
                <w:color w:val="000000"/>
              </w:rPr>
            </w:pPr>
            <w:r>
              <w:rPr>
                <w:color w:val="000000"/>
              </w:rPr>
              <w:t> </w:t>
            </w: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14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ind w:left="283"/>
              <w:rPr>
                <w:color w:val="000000"/>
              </w:rPr>
            </w:pPr>
            <w:r>
              <w:rPr>
                <w:color w:val="000000"/>
              </w:rPr>
              <w:t>варочные панели</w:t>
            </w: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0" w:type="auto"/>
            <w:vMerge/>
            <w:tcBorders>
              <w:top w:val="nil"/>
              <w:left w:val="nil"/>
              <w:bottom w:val="nil"/>
              <w:right w:val="nil"/>
            </w:tcBorders>
            <w:vAlign w:val="center"/>
            <w:hideMark/>
          </w:tcPr>
          <w:p w:rsidR="00000000" w:rsidRDefault="00000000">
            <w:pPr>
              <w:rPr>
                <w:color w:val="000000"/>
                <w:sz w:val="20"/>
                <w:szCs w:val="20"/>
              </w:rPr>
            </w:pP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14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ind w:left="283"/>
              <w:rPr>
                <w:color w:val="000000"/>
              </w:rPr>
            </w:pPr>
            <w:r>
              <w:rPr>
                <w:color w:val="000000"/>
              </w:rPr>
              <w:t>микроволновые печи</w:t>
            </w: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0" w:type="auto"/>
            <w:vMerge/>
            <w:tcBorders>
              <w:top w:val="nil"/>
              <w:left w:val="nil"/>
              <w:bottom w:val="nil"/>
              <w:right w:val="nil"/>
            </w:tcBorders>
            <w:vAlign w:val="center"/>
            <w:hideMark/>
          </w:tcPr>
          <w:p w:rsidR="00000000" w:rsidRDefault="00000000">
            <w:pPr>
              <w:rPr>
                <w:color w:val="000000"/>
                <w:sz w:val="20"/>
                <w:szCs w:val="20"/>
              </w:rPr>
            </w:pP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14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ind w:left="283"/>
              <w:rPr>
                <w:color w:val="000000"/>
              </w:rPr>
            </w:pPr>
            <w:r>
              <w:rPr>
                <w:color w:val="000000"/>
              </w:rPr>
              <w:t>фритюрницы, кофеварки</w:t>
            </w: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0" w:type="auto"/>
            <w:vMerge/>
            <w:tcBorders>
              <w:top w:val="nil"/>
              <w:left w:val="nil"/>
              <w:bottom w:val="nil"/>
              <w:right w:val="nil"/>
            </w:tcBorders>
            <w:vAlign w:val="center"/>
            <w:hideMark/>
          </w:tcPr>
          <w:p w:rsidR="00000000" w:rsidRDefault="00000000">
            <w:pPr>
              <w:rPr>
                <w:color w:val="000000"/>
                <w:sz w:val="20"/>
                <w:szCs w:val="20"/>
              </w:rPr>
            </w:pP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14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ind w:left="283"/>
              <w:rPr>
                <w:color w:val="000000"/>
              </w:rPr>
            </w:pPr>
            <w:r>
              <w:rPr>
                <w:color w:val="000000"/>
              </w:rPr>
              <w:t>принтеры</w:t>
            </w: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0" w:type="auto"/>
            <w:vMerge/>
            <w:tcBorders>
              <w:top w:val="nil"/>
              <w:left w:val="nil"/>
              <w:bottom w:val="nil"/>
              <w:right w:val="nil"/>
            </w:tcBorders>
            <w:vAlign w:val="center"/>
            <w:hideMark/>
          </w:tcPr>
          <w:p w:rsidR="00000000" w:rsidRDefault="00000000">
            <w:pPr>
              <w:rPr>
                <w:color w:val="000000"/>
                <w:sz w:val="20"/>
                <w:szCs w:val="20"/>
              </w:rPr>
            </w:pP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14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ind w:left="283"/>
              <w:rPr>
                <w:color w:val="000000"/>
              </w:rPr>
            </w:pPr>
            <w:r>
              <w:rPr>
                <w:color w:val="000000"/>
              </w:rPr>
              <w:t>сканеры</w:t>
            </w: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0" w:type="auto"/>
            <w:vMerge/>
            <w:tcBorders>
              <w:top w:val="nil"/>
              <w:left w:val="nil"/>
              <w:bottom w:val="nil"/>
              <w:right w:val="nil"/>
            </w:tcBorders>
            <w:vAlign w:val="center"/>
            <w:hideMark/>
          </w:tcPr>
          <w:p w:rsidR="00000000" w:rsidRDefault="00000000">
            <w:pPr>
              <w:rPr>
                <w:color w:val="000000"/>
                <w:sz w:val="20"/>
                <w:szCs w:val="20"/>
              </w:rPr>
            </w:pP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14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ind w:left="283"/>
              <w:rPr>
                <w:color w:val="000000"/>
              </w:rPr>
            </w:pPr>
            <w:r>
              <w:rPr>
                <w:color w:val="000000"/>
              </w:rPr>
              <w:t>мониторы</w:t>
            </w: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0" w:type="auto"/>
            <w:vMerge/>
            <w:tcBorders>
              <w:top w:val="nil"/>
              <w:left w:val="nil"/>
              <w:bottom w:val="nil"/>
              <w:right w:val="nil"/>
            </w:tcBorders>
            <w:vAlign w:val="center"/>
            <w:hideMark/>
          </w:tcPr>
          <w:p w:rsidR="00000000" w:rsidRDefault="00000000">
            <w:pPr>
              <w:rPr>
                <w:color w:val="000000"/>
                <w:sz w:val="20"/>
                <w:szCs w:val="20"/>
              </w:rPr>
            </w:pP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14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ind w:left="283"/>
              <w:rPr>
                <w:color w:val="000000"/>
              </w:rPr>
            </w:pPr>
            <w:r>
              <w:rPr>
                <w:color w:val="000000"/>
              </w:rPr>
              <w:t>активные акустические системы с питанием от сети переменного тока</w:t>
            </w: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0" w:type="auto"/>
            <w:vMerge/>
            <w:tcBorders>
              <w:top w:val="nil"/>
              <w:left w:val="nil"/>
              <w:bottom w:val="nil"/>
              <w:right w:val="nil"/>
            </w:tcBorders>
            <w:vAlign w:val="center"/>
            <w:hideMark/>
          </w:tcPr>
          <w:p w:rsidR="00000000" w:rsidRDefault="00000000">
            <w:pPr>
              <w:rPr>
                <w:color w:val="000000"/>
                <w:sz w:val="20"/>
                <w:szCs w:val="20"/>
              </w:rPr>
            </w:pP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14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ind w:left="283"/>
              <w:rPr>
                <w:color w:val="000000"/>
              </w:rPr>
            </w:pPr>
            <w:r>
              <w:rPr>
                <w:color w:val="000000"/>
              </w:rPr>
              <w:t>мультимедийные проекторы</w:t>
            </w: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0" w:type="auto"/>
            <w:vMerge/>
            <w:tcBorders>
              <w:top w:val="nil"/>
              <w:left w:val="nil"/>
              <w:bottom w:val="nil"/>
              <w:right w:val="nil"/>
            </w:tcBorders>
            <w:vAlign w:val="center"/>
            <w:hideMark/>
          </w:tcPr>
          <w:p w:rsidR="00000000" w:rsidRDefault="00000000">
            <w:pPr>
              <w:rPr>
                <w:color w:val="000000"/>
                <w:sz w:val="20"/>
                <w:szCs w:val="20"/>
              </w:rPr>
            </w:pP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14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ind w:left="283"/>
              <w:rPr>
                <w:color w:val="000000"/>
              </w:rPr>
            </w:pPr>
            <w:r>
              <w:rPr>
                <w:color w:val="000000"/>
              </w:rPr>
              <w:t>звуковые усилители</w:t>
            </w: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0" w:type="auto"/>
            <w:vMerge/>
            <w:tcBorders>
              <w:top w:val="nil"/>
              <w:left w:val="nil"/>
              <w:bottom w:val="nil"/>
              <w:right w:val="nil"/>
            </w:tcBorders>
            <w:vAlign w:val="center"/>
            <w:hideMark/>
          </w:tcPr>
          <w:p w:rsidR="00000000" w:rsidRDefault="00000000">
            <w:pPr>
              <w:rPr>
                <w:color w:val="000000"/>
                <w:sz w:val="20"/>
                <w:szCs w:val="20"/>
              </w:rPr>
            </w:pP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14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ind w:left="283"/>
              <w:rPr>
                <w:color w:val="000000"/>
              </w:rPr>
            </w:pPr>
            <w:r>
              <w:rPr>
                <w:color w:val="000000"/>
              </w:rPr>
              <w:t>домашние кинотеатры</w:t>
            </w: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0" w:type="auto"/>
            <w:vMerge/>
            <w:tcBorders>
              <w:top w:val="nil"/>
              <w:left w:val="nil"/>
              <w:bottom w:val="nil"/>
              <w:right w:val="nil"/>
            </w:tcBorders>
            <w:vAlign w:val="center"/>
            <w:hideMark/>
          </w:tcPr>
          <w:p w:rsidR="00000000" w:rsidRDefault="00000000">
            <w:pPr>
              <w:rPr>
                <w:color w:val="000000"/>
                <w:sz w:val="20"/>
                <w:szCs w:val="20"/>
              </w:rPr>
            </w:pP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14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ind w:left="283"/>
              <w:rPr>
                <w:color w:val="000000"/>
              </w:rPr>
            </w:pPr>
            <w:r>
              <w:rPr>
                <w:color w:val="000000"/>
              </w:rPr>
              <w:t>инструменты электромузыкальные</w:t>
            </w: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0" w:type="auto"/>
            <w:vMerge/>
            <w:tcBorders>
              <w:top w:val="nil"/>
              <w:left w:val="nil"/>
              <w:bottom w:val="nil"/>
              <w:right w:val="nil"/>
            </w:tcBorders>
            <w:vAlign w:val="center"/>
            <w:hideMark/>
          </w:tcPr>
          <w:p w:rsidR="00000000" w:rsidRDefault="00000000">
            <w:pPr>
              <w:rPr>
                <w:color w:val="000000"/>
                <w:sz w:val="20"/>
                <w:szCs w:val="20"/>
              </w:rPr>
            </w:pP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14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bookmarkStart w:id="13" w:name="a5"/>
            <w:bookmarkEnd w:id="13"/>
            <w:r>
              <w:rPr>
                <w:color w:val="000000"/>
              </w:rPr>
              <w:t>4. Односкоростные асинхронные (индукционные) трехфазные электродвигатели мощностью от 0,75 до 30 кВт***</w:t>
            </w: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СТБ 2332 (раздел 4)</w:t>
            </w:r>
          </w:p>
        </w:tc>
        <w:tc>
          <w:tcPr>
            <w:tcW w:w="7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xml:space="preserve">8501 51 000 1 </w:t>
            </w:r>
            <w:r>
              <w:rPr>
                <w:color w:val="000000"/>
              </w:rPr>
              <w:br/>
              <w:t xml:space="preserve">8501 52 300 0 </w:t>
            </w:r>
            <w:r>
              <w:rPr>
                <w:color w:val="000000"/>
              </w:rPr>
              <w:br/>
              <w:t>8501 52 200 1</w:t>
            </w: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декларирование соответствия</w:t>
            </w:r>
          </w:p>
        </w:tc>
        <w:tc>
          <w:tcPr>
            <w:tcW w:w="0" w:type="auto"/>
            <w:vAlign w:val="center"/>
            <w:hideMark/>
          </w:tcPr>
          <w:p w:rsidR="00000000" w:rsidRDefault="00000000">
            <w:pPr>
              <w:rPr>
                <w:rFonts w:eastAsia="Times New Roman"/>
                <w:sz w:val="20"/>
                <w:szCs w:val="20"/>
              </w:rPr>
            </w:pPr>
          </w:p>
        </w:tc>
      </w:tr>
      <w:tr w:rsidR="00000000">
        <w:trPr>
          <w:trHeight w:val="238"/>
        </w:trPr>
        <w:tc>
          <w:tcPr>
            <w:tcW w:w="1443"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bookmarkStart w:id="14" w:name="a19"/>
            <w:bookmarkEnd w:id="14"/>
            <w:r>
              <w:rPr>
                <w:color w:val="000000"/>
              </w:rPr>
              <w:t>5. Кабели электрические, рассчитанные на напряжение более 1000 В переменного тока и 1500 В постоянного тока</w:t>
            </w: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ГОСТ 16442 (пункты 1.2–1.6, подпункты 2.2.1–2.2.7, 2.2.9, 2.2.10, 2.3.1–2.3.3, 2.3.5, 2.3.6, 2.4.1, 2.6.1–2.6.5, 2.6.9, пункты 2.7, 6.2–6.4)</w:t>
            </w:r>
          </w:p>
        </w:tc>
        <w:tc>
          <w:tcPr>
            <w:tcW w:w="7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8544 60</w:t>
            </w: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c>
          <w:tcPr>
            <w:tcW w:w="0" w:type="auto"/>
            <w:vAlign w:val="center"/>
            <w:hideMark/>
          </w:tcPr>
          <w:p w:rsidR="00000000" w:rsidRDefault="00000000">
            <w:pPr>
              <w:rPr>
                <w:rFonts w:eastAsia="Times New Roman"/>
                <w:sz w:val="20"/>
                <w:szCs w:val="20"/>
              </w:rPr>
            </w:pPr>
          </w:p>
        </w:tc>
      </w:tr>
      <w:tr w:rsidR="00000000">
        <w:trPr>
          <w:trHeight w:val="238"/>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ГОСТ 18410 (пункт 1.2, подпункты 2.2.1–2.2.4, 2.2.7–2.2.9, 2.2.11–2.2.15, 2.3.1–2.3.7, 2.4.1, 2.5.1, пункты 2.6, 5.1–5.4)</w:t>
            </w:r>
          </w:p>
        </w:tc>
        <w:tc>
          <w:tcPr>
            <w:tcW w:w="7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ГОСТ 24334 (пункт 1.2, подпункты 2.2.1–2.2.4, 2.2.4а, 2.2.4б, 2.2.5, 2.2.6, 2.2.8–2.2.11, 2.3.1–2.3.4, 2.4.1–2.4.5, 2.5.9–2.5.11, 6.1.1–6.1.6)</w:t>
            </w:r>
          </w:p>
        </w:tc>
        <w:tc>
          <w:tcPr>
            <w:tcW w:w="7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1443" w:type="pct"/>
            <w:tcBorders>
              <w:top w:val="nil"/>
              <w:left w:val="nil"/>
              <w:bottom w:val="nil"/>
              <w:right w:val="nil"/>
            </w:tcBorders>
            <w:tcMar>
              <w:top w:w="0" w:type="dxa"/>
              <w:left w:w="6" w:type="dxa"/>
              <w:bottom w:w="0" w:type="dxa"/>
              <w:right w:w="6" w:type="dxa"/>
            </w:tcMar>
            <w:vAlign w:val="center"/>
            <w:hideMark/>
          </w:tcPr>
          <w:p w:rsidR="00000000" w:rsidRDefault="00000000">
            <w:pPr>
              <w:pStyle w:val="newncpi"/>
              <w:rPr>
                <w:color w:val="000000"/>
              </w:rPr>
            </w:pPr>
            <w:r>
              <w:rPr>
                <w:color w:val="000000"/>
              </w:rPr>
              <w:t> </w:t>
            </w: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СТБ IEC 60502-1 (разделы 4–13, пункты 15.2, 15.3, 16.4–16.7, 17.1–17.3, 18.3–18.7, 18.9, 18.14)</w:t>
            </w:r>
          </w:p>
        </w:tc>
        <w:tc>
          <w:tcPr>
            <w:tcW w:w="7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1443" w:type="pct"/>
            <w:tcBorders>
              <w:top w:val="nil"/>
              <w:left w:val="nil"/>
              <w:bottom w:val="nil"/>
              <w:right w:val="nil"/>
            </w:tcBorders>
            <w:tcMar>
              <w:top w:w="0" w:type="dxa"/>
              <w:left w:w="6" w:type="dxa"/>
              <w:bottom w:w="0" w:type="dxa"/>
              <w:right w:w="6" w:type="dxa"/>
            </w:tcMar>
            <w:vAlign w:val="center"/>
            <w:hideMark/>
          </w:tcPr>
          <w:p w:rsidR="00000000" w:rsidRDefault="00000000">
            <w:pPr>
              <w:pStyle w:val="newncpi"/>
              <w:rPr>
                <w:color w:val="000000"/>
              </w:rPr>
            </w:pPr>
            <w:r>
              <w:rPr>
                <w:color w:val="000000"/>
              </w:rPr>
              <w:t> </w:t>
            </w: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СТБ IEC 60502-2 (разделы 4–14, пункты 16.2–16.4, 17.4–17.7, 17.9, подпункты 18.1.3–18.1.6, 18.1.8, 18.1.9, 18.2.1–18.2.3, пункты 19.3–19.9, 19.14)</w:t>
            </w:r>
          </w:p>
        </w:tc>
        <w:tc>
          <w:tcPr>
            <w:tcW w:w="7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1443" w:type="pct"/>
            <w:tcBorders>
              <w:top w:val="nil"/>
              <w:left w:val="nil"/>
              <w:bottom w:val="nil"/>
              <w:right w:val="nil"/>
            </w:tcBorders>
            <w:tcMar>
              <w:top w:w="0" w:type="dxa"/>
              <w:left w:w="6" w:type="dxa"/>
              <w:bottom w:w="0" w:type="dxa"/>
              <w:right w:w="6" w:type="dxa"/>
            </w:tcMar>
            <w:vAlign w:val="center"/>
            <w:hideMark/>
          </w:tcPr>
          <w:p w:rsidR="00000000" w:rsidRDefault="00000000">
            <w:pPr>
              <w:pStyle w:val="newncpi"/>
              <w:rPr>
                <w:color w:val="000000"/>
              </w:rPr>
            </w:pPr>
            <w:r>
              <w:rPr>
                <w:color w:val="000000"/>
              </w:rPr>
              <w:t> </w:t>
            </w: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ГОСТ 31996 (подпункты 5.2.1.3–5.2.1.11, 5.2.1.13–5.2.1.17, 5.2.2.1–5.2.2.2, 5.2.2.5, 5.2.2.6, 5.2.3, 5.2.5.1 (таблица 11 пункты 1, 2, 4, 5), 5.2.5.2 (таблица 12 пункты 1, 2, 4, 6), 5.2.5.4, 5.2.7.1–5.2.7.3, пункт 6.3)</w:t>
            </w:r>
          </w:p>
        </w:tc>
        <w:tc>
          <w:tcPr>
            <w:tcW w:w="7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14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ГОСТ 26445 (подпункты 2.4.2, 2.4.4, 2.4.7–2.4.9, 2.5.1–2.5.3, 2.6.2, 2.7.7)</w:t>
            </w:r>
          </w:p>
        </w:tc>
        <w:tc>
          <w:tcPr>
            <w:tcW w:w="7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14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bookmarkStart w:id="15" w:name="a47"/>
            <w:bookmarkEnd w:id="15"/>
            <w:r>
              <w:rPr>
                <w:color w:val="000000"/>
              </w:rPr>
              <w:t>6. Нетабачные никотиносодержащие изделия орального способа потребления****</w:t>
            </w: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содержание никотина – не более 11 мг в одном изделии</w:t>
            </w:r>
          </w:p>
          <w:p w:rsidR="00000000" w:rsidRDefault="00000000">
            <w:pPr>
              <w:pStyle w:val="table10"/>
              <w:spacing w:before="120"/>
              <w:rPr>
                <w:color w:val="000000"/>
              </w:rPr>
            </w:pPr>
            <w:r>
              <w:rPr>
                <w:color w:val="000000"/>
              </w:rPr>
              <w:t>на потребительской упаковке должны быть указаны:</w:t>
            </w:r>
          </w:p>
          <w:p w:rsidR="00000000" w:rsidRDefault="00000000">
            <w:pPr>
              <w:pStyle w:val="table10"/>
              <w:spacing w:before="120"/>
              <w:ind w:left="284"/>
              <w:rPr>
                <w:color w:val="000000"/>
              </w:rPr>
            </w:pPr>
            <w:r>
              <w:rPr>
                <w:color w:val="000000"/>
              </w:rPr>
              <w:t>наименование изделия</w:t>
            </w:r>
          </w:p>
          <w:p w:rsidR="00000000" w:rsidRDefault="00000000">
            <w:pPr>
              <w:pStyle w:val="table10"/>
              <w:spacing w:before="120"/>
              <w:ind w:left="284"/>
              <w:rPr>
                <w:color w:val="000000"/>
              </w:rPr>
            </w:pPr>
            <w:r>
              <w:rPr>
                <w:color w:val="000000"/>
              </w:rPr>
              <w:t>наименование и местонахождение изготовителя (адрес, включая страну)</w:t>
            </w:r>
          </w:p>
          <w:p w:rsidR="00000000" w:rsidRDefault="00000000">
            <w:pPr>
              <w:pStyle w:val="table10"/>
              <w:spacing w:before="120"/>
              <w:ind w:left="284"/>
              <w:rPr>
                <w:color w:val="000000"/>
              </w:rPr>
            </w:pPr>
            <w:r>
              <w:rPr>
                <w:color w:val="000000"/>
              </w:rPr>
              <w:t>наименование и местонахождение импортера (адрес, включая страну) – для изделий, поставляемых из третьих стран</w:t>
            </w:r>
          </w:p>
          <w:p w:rsidR="00000000" w:rsidRDefault="00000000">
            <w:pPr>
              <w:pStyle w:val="table10"/>
              <w:spacing w:before="120"/>
              <w:ind w:left="284"/>
              <w:rPr>
                <w:color w:val="000000"/>
              </w:rPr>
            </w:pPr>
            <w:r>
              <w:rPr>
                <w:color w:val="000000"/>
              </w:rPr>
              <w:t>наименование и местонахождение организации, зарегистрированной на территории Республики Беларусь и уполномоченной изготовителем на принятие претензий от потребителей. В случае отсутствия такой организации указывается, что претензии от потребителей принимает изготовитель (для изделий, изготовленных в Республике Беларусь) или импортер (для изделий, поставляемых из третьих стран)</w:t>
            </w:r>
          </w:p>
          <w:p w:rsidR="00000000" w:rsidRDefault="00000000">
            <w:pPr>
              <w:pStyle w:val="table10"/>
              <w:spacing w:before="120"/>
              <w:ind w:left="284"/>
              <w:rPr>
                <w:color w:val="000000"/>
              </w:rPr>
            </w:pPr>
            <w:r>
              <w:rPr>
                <w:color w:val="000000"/>
              </w:rPr>
              <w:t>номинальное количество изделий в потребительской упаковке</w:t>
            </w:r>
          </w:p>
          <w:p w:rsidR="00000000" w:rsidRDefault="00000000">
            <w:pPr>
              <w:pStyle w:val="table10"/>
              <w:spacing w:before="120"/>
              <w:ind w:left="284"/>
              <w:rPr>
                <w:color w:val="000000"/>
              </w:rPr>
            </w:pPr>
            <w:r>
              <w:rPr>
                <w:color w:val="000000"/>
              </w:rPr>
              <w:t>содержание никотина в одном изделии, мг</w:t>
            </w:r>
          </w:p>
          <w:p w:rsidR="00000000" w:rsidRDefault="00000000">
            <w:pPr>
              <w:pStyle w:val="table10"/>
              <w:spacing w:before="120"/>
              <w:ind w:left="284"/>
              <w:rPr>
                <w:color w:val="000000"/>
              </w:rPr>
            </w:pPr>
            <w:r>
              <w:rPr>
                <w:color w:val="000000"/>
              </w:rPr>
              <w:t>состав изделия</w:t>
            </w:r>
          </w:p>
          <w:p w:rsidR="00000000" w:rsidRDefault="00000000">
            <w:pPr>
              <w:pStyle w:val="table10"/>
              <w:spacing w:before="120"/>
              <w:ind w:left="284"/>
              <w:rPr>
                <w:color w:val="000000"/>
              </w:rPr>
            </w:pPr>
            <w:r>
              <w:rPr>
                <w:color w:val="000000"/>
              </w:rPr>
              <w:t>дата изготовления, срок годности, условия хранения</w:t>
            </w:r>
          </w:p>
          <w:p w:rsidR="00000000" w:rsidRDefault="00000000">
            <w:pPr>
              <w:pStyle w:val="table10"/>
              <w:spacing w:before="120"/>
              <w:ind w:left="284"/>
              <w:rPr>
                <w:color w:val="000000"/>
              </w:rPr>
            </w:pPr>
            <w:r>
              <w:rPr>
                <w:color w:val="000000"/>
              </w:rPr>
              <w:t>надписи:</w:t>
            </w:r>
          </w:p>
          <w:p w:rsidR="00000000" w:rsidRDefault="00000000">
            <w:pPr>
              <w:pStyle w:val="table10"/>
              <w:spacing w:before="120"/>
              <w:ind w:left="284"/>
              <w:rPr>
                <w:color w:val="000000"/>
              </w:rPr>
            </w:pPr>
            <w:r>
              <w:rPr>
                <w:color w:val="000000"/>
              </w:rPr>
              <w:t>«Запрещается продажа лицам моложе 18 лет»</w:t>
            </w:r>
          </w:p>
          <w:p w:rsidR="00000000" w:rsidRDefault="00000000">
            <w:pPr>
              <w:pStyle w:val="table10"/>
              <w:spacing w:before="120"/>
              <w:ind w:left="284"/>
              <w:rPr>
                <w:color w:val="000000"/>
              </w:rPr>
            </w:pPr>
            <w:r>
              <w:rPr>
                <w:color w:val="000000"/>
              </w:rPr>
              <w:t>«Продукт содержит никотин, являющийся ядовитым веществом, вызывающим сильную зависимость»</w:t>
            </w:r>
          </w:p>
          <w:p w:rsidR="00000000" w:rsidRDefault="00000000">
            <w:pPr>
              <w:pStyle w:val="table10"/>
              <w:spacing w:before="120"/>
              <w:ind w:left="284"/>
              <w:rPr>
                <w:color w:val="000000"/>
              </w:rPr>
            </w:pPr>
            <w:r>
              <w:rPr>
                <w:color w:val="000000"/>
              </w:rPr>
              <w:t>«Продукт вреден для Вашего здоровья»</w:t>
            </w:r>
          </w:p>
          <w:p w:rsidR="00000000" w:rsidRDefault="00000000">
            <w:pPr>
              <w:pStyle w:val="table10"/>
              <w:spacing w:before="120"/>
              <w:rPr>
                <w:color w:val="000000"/>
              </w:rPr>
            </w:pPr>
            <w:r>
              <w:rPr>
                <w:color w:val="000000"/>
              </w:rPr>
              <w:t>на потребительской упаковке (листе-вкладыше) должны быть указаны:</w:t>
            </w:r>
          </w:p>
          <w:p w:rsidR="00000000" w:rsidRDefault="00000000">
            <w:pPr>
              <w:pStyle w:val="table10"/>
              <w:spacing w:before="120"/>
              <w:ind w:left="284"/>
              <w:rPr>
                <w:color w:val="000000"/>
              </w:rPr>
            </w:pPr>
            <w:r>
              <w:rPr>
                <w:color w:val="000000"/>
              </w:rPr>
              <w:t>рекомендации по употреблению</w:t>
            </w:r>
          </w:p>
          <w:p w:rsidR="00000000" w:rsidRDefault="00000000">
            <w:pPr>
              <w:pStyle w:val="table10"/>
              <w:spacing w:before="120"/>
              <w:ind w:left="284"/>
              <w:rPr>
                <w:color w:val="000000"/>
              </w:rPr>
            </w:pPr>
            <w:r>
              <w:rPr>
                <w:color w:val="000000"/>
              </w:rPr>
              <w:t>надписи:</w:t>
            </w:r>
          </w:p>
          <w:p w:rsidR="00000000" w:rsidRDefault="00000000">
            <w:pPr>
              <w:pStyle w:val="table10"/>
              <w:spacing w:before="120"/>
              <w:ind w:left="284"/>
              <w:rPr>
                <w:color w:val="000000"/>
              </w:rPr>
            </w:pPr>
            <w:r>
              <w:rPr>
                <w:color w:val="000000"/>
              </w:rPr>
              <w:t>«Запрещается продажа лицам моложе 18 лет»</w:t>
            </w:r>
          </w:p>
          <w:p w:rsidR="00000000" w:rsidRDefault="00000000">
            <w:pPr>
              <w:pStyle w:val="table10"/>
              <w:spacing w:before="120"/>
              <w:ind w:left="284"/>
              <w:rPr>
                <w:color w:val="000000"/>
              </w:rPr>
            </w:pPr>
            <w:r>
              <w:rPr>
                <w:color w:val="000000"/>
              </w:rPr>
              <w:t>«Не рекомендуется лицам, не курящим и (или) не употребляющим никотиносодержащую продукцию»</w:t>
            </w:r>
          </w:p>
          <w:p w:rsidR="00000000" w:rsidRDefault="00000000">
            <w:pPr>
              <w:pStyle w:val="table10"/>
              <w:spacing w:before="120"/>
              <w:ind w:left="284"/>
              <w:rPr>
                <w:color w:val="000000"/>
              </w:rPr>
            </w:pPr>
            <w:r>
              <w:rPr>
                <w:color w:val="000000"/>
              </w:rPr>
              <w:t>«Хранить в местах, недоступных для детей и животных, вдали от пищевой продукции и корма»</w:t>
            </w:r>
          </w:p>
          <w:p w:rsidR="00000000" w:rsidRDefault="00000000">
            <w:pPr>
              <w:pStyle w:val="table10"/>
              <w:spacing w:before="120"/>
              <w:ind w:left="284"/>
              <w:rPr>
                <w:color w:val="000000"/>
              </w:rPr>
            </w:pPr>
            <w:r>
              <w:rPr>
                <w:color w:val="000000"/>
              </w:rPr>
              <w:t>«Продукт содержит никотин, являющийся ядовитым веществом, вызывающим сильную зависимость»</w:t>
            </w:r>
          </w:p>
          <w:p w:rsidR="00000000" w:rsidRDefault="00000000">
            <w:pPr>
              <w:pStyle w:val="table10"/>
              <w:spacing w:before="120"/>
              <w:ind w:left="284"/>
              <w:rPr>
                <w:color w:val="000000"/>
              </w:rPr>
            </w:pPr>
            <w:r>
              <w:rPr>
                <w:color w:val="000000"/>
              </w:rPr>
              <w:t>«Продукт вреден для Вашего здоровья»</w:t>
            </w:r>
          </w:p>
          <w:p w:rsidR="00000000" w:rsidRDefault="00000000">
            <w:pPr>
              <w:pStyle w:val="table10"/>
              <w:spacing w:before="120"/>
              <w:ind w:left="284"/>
              <w:rPr>
                <w:color w:val="000000"/>
              </w:rPr>
            </w:pPr>
            <w:r>
              <w:rPr>
                <w:color w:val="000000"/>
              </w:rPr>
              <w:t>«Продукт может вызывать аллергическую реакцию»</w:t>
            </w:r>
          </w:p>
          <w:p w:rsidR="00000000" w:rsidRDefault="00000000">
            <w:pPr>
              <w:pStyle w:val="table10"/>
              <w:spacing w:before="120"/>
              <w:ind w:left="284"/>
              <w:rPr>
                <w:color w:val="000000"/>
              </w:rPr>
            </w:pPr>
            <w:r>
              <w:rPr>
                <w:color w:val="000000"/>
              </w:rPr>
              <w:t>«Продукт противопоказан для употребления лицами с аллергией/чувствительностью к никотину и (или) другим компонентам, которым следует избегать употребления никотина по медицинским показаниям, с заболеваниями сердца, тяжелой артериальной гипертензией, гипертонией или диабетом, беременными и кормящими женщинами»</w:t>
            </w:r>
          </w:p>
          <w:p w:rsidR="00000000" w:rsidRDefault="00000000">
            <w:pPr>
              <w:pStyle w:val="table10"/>
              <w:spacing w:before="120"/>
              <w:ind w:left="284"/>
              <w:rPr>
                <w:color w:val="000000"/>
              </w:rPr>
            </w:pPr>
            <w:r>
              <w:rPr>
                <w:color w:val="000000"/>
              </w:rPr>
              <w:t>«Важная информация: немедленно прекратите употребление продукта и обратитесь за медицинской помощью в случае возникновения у Вас аритмии, аллергической реакции (например, сыпь, зуд или отек языка, ротовой полости или горла), недомогания, тошноты, головной боли или иного необычного или нежелательного эффекта»</w:t>
            </w:r>
          </w:p>
          <w:p w:rsidR="00000000" w:rsidRDefault="00000000">
            <w:pPr>
              <w:pStyle w:val="table10"/>
              <w:spacing w:before="120"/>
              <w:ind w:left="284"/>
              <w:rPr>
                <w:color w:val="000000"/>
              </w:rPr>
            </w:pPr>
            <w:r>
              <w:rPr>
                <w:color w:val="000000"/>
              </w:rPr>
              <w:t>«Предупреждение: в случае плохого самочувствия после употребления продукта необходимо обратиться за медицинской помощью и предъявить упаковку или этикетку продукта медицинскому персоналу»</w:t>
            </w:r>
          </w:p>
          <w:p w:rsidR="00000000" w:rsidRDefault="00000000">
            <w:pPr>
              <w:pStyle w:val="table10"/>
              <w:spacing w:before="120"/>
              <w:ind w:left="284"/>
              <w:rPr>
                <w:color w:val="000000"/>
              </w:rPr>
            </w:pPr>
            <w:r>
              <w:rPr>
                <w:color w:val="000000"/>
              </w:rPr>
              <w:t>«Не принимайте пищу, не пейте и не курите в процессе употребления продукта»</w:t>
            </w:r>
          </w:p>
          <w:p w:rsidR="00000000" w:rsidRDefault="00000000">
            <w:pPr>
              <w:pStyle w:val="table10"/>
              <w:spacing w:before="120"/>
              <w:ind w:left="284"/>
              <w:rPr>
                <w:color w:val="000000"/>
              </w:rPr>
            </w:pPr>
            <w:r>
              <w:rPr>
                <w:color w:val="000000"/>
              </w:rPr>
              <w:t>«Не допускается употребление более одной порции одновременно»</w:t>
            </w:r>
          </w:p>
          <w:p w:rsidR="00000000" w:rsidRDefault="00000000">
            <w:pPr>
              <w:pStyle w:val="table10"/>
              <w:spacing w:before="120"/>
              <w:ind w:left="284"/>
              <w:rPr>
                <w:color w:val="000000"/>
              </w:rPr>
            </w:pPr>
            <w:r>
              <w:rPr>
                <w:color w:val="000000"/>
              </w:rPr>
              <w:t>«После использования продукта упаковка должна утилизироваться как отходы потребления. Запрещается ее повторное использование»</w:t>
            </w:r>
          </w:p>
          <w:p w:rsidR="00000000" w:rsidRDefault="00000000">
            <w:pPr>
              <w:pStyle w:val="table10"/>
              <w:spacing w:before="120"/>
              <w:rPr>
                <w:color w:val="000000"/>
              </w:rPr>
            </w:pPr>
            <w:r>
              <w:rPr>
                <w:color w:val="000000"/>
              </w:rPr>
              <w:t>надписи «Продукт содержит никотин, являющийся ядовитым веществом, вызывающим сильную зависимость» или «Продукт вреден для Вашего здоровья» должны располагаться на лицевой стороне потребительской упаковки, занимать не менее 50 процентов ее площади, наноситься прописными буквами черного цвета на белом фоне, выделенным, четким, легко читаемым шрифтом максимально крупного размера. Междустрочный интервал не должен превышать высоту шрифта. Информация должна равномерно распределяться по всей площади, выделенной для надписей. При этом каждая надпись должна быть нанесена на примерно равное количество единиц потребительской упаковки продукции</w:t>
            </w:r>
          </w:p>
          <w:p w:rsidR="00000000" w:rsidRDefault="00000000">
            <w:pPr>
              <w:pStyle w:val="table10"/>
              <w:spacing w:before="120"/>
              <w:rPr>
                <w:color w:val="000000"/>
              </w:rPr>
            </w:pPr>
            <w:r>
              <w:rPr>
                <w:color w:val="000000"/>
              </w:rPr>
              <w:t>в маркировке потребительской упаковки не допускается использование слов, и (или) знаков, и (или) символов, которые могут вызвать ассоциации изделий с пищевой продукцией, в том числе с пищевыми добавками, или которые прямо или косвенно могут создать впечатление, что изделия имеют вкус пищевой продукции или продукт менее вреден для здоровья, чем табачная продукция. Также не допускается использование на потребительской упаковке изображений пищевой продукции, лекарственных средств, лекарственных растений, слов и (или) словосочетаний, которые прямо или косвенно могут вызвать ассоциации изделий с пищевой продукцией, лекарственными средствами или лекарственными растениями</w:t>
            </w:r>
          </w:p>
        </w:tc>
        <w:tc>
          <w:tcPr>
            <w:tcW w:w="7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из 2404</w:t>
            </w: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сертификация</w:t>
            </w:r>
          </w:p>
        </w:tc>
        <w:tc>
          <w:tcPr>
            <w:tcW w:w="0" w:type="auto"/>
            <w:vAlign w:val="center"/>
            <w:hideMark/>
          </w:tcPr>
          <w:p w:rsidR="00000000" w:rsidRDefault="00000000">
            <w:pPr>
              <w:rPr>
                <w:rFonts w:eastAsia="Times New Roman"/>
                <w:sz w:val="20"/>
                <w:szCs w:val="20"/>
              </w:rPr>
            </w:pPr>
          </w:p>
        </w:tc>
      </w:tr>
      <w:tr w:rsidR="00000000">
        <w:trPr>
          <w:trHeight w:val="238"/>
        </w:trPr>
        <w:tc>
          <w:tcPr>
            <w:tcW w:w="14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7. Никотиносодержащие жидкости для электронных систем курения, электронные системы курения с жидкостями для них, конструктивно входящими в состав таких систем****</w:t>
            </w: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содержание никотина – не более 20 мг/мл</w:t>
            </w:r>
          </w:p>
          <w:p w:rsidR="00000000" w:rsidRDefault="00000000">
            <w:pPr>
              <w:pStyle w:val="table10"/>
              <w:spacing w:before="120"/>
              <w:rPr>
                <w:color w:val="000000"/>
              </w:rPr>
            </w:pPr>
            <w:r>
              <w:rPr>
                <w:color w:val="000000"/>
              </w:rPr>
              <w:t>объем одноразовых электронных систем доставки никотина или одноразовых картриджей – не более 2 мл</w:t>
            </w:r>
          </w:p>
          <w:p w:rsidR="00000000" w:rsidRDefault="00000000">
            <w:pPr>
              <w:pStyle w:val="table10"/>
              <w:spacing w:before="120"/>
              <w:rPr>
                <w:color w:val="000000"/>
              </w:rPr>
            </w:pPr>
            <w:r>
              <w:rPr>
                <w:color w:val="000000"/>
              </w:rPr>
              <w:t>объем специальных заправочных контейнеров – не более 10 мл</w:t>
            </w:r>
          </w:p>
          <w:p w:rsidR="00000000" w:rsidRDefault="00000000">
            <w:pPr>
              <w:pStyle w:val="table10"/>
              <w:spacing w:before="120"/>
              <w:rPr>
                <w:color w:val="000000"/>
              </w:rPr>
            </w:pPr>
            <w:r>
              <w:rPr>
                <w:color w:val="000000"/>
              </w:rPr>
              <w:t>на потребительской упаковке должны быть указаны:</w:t>
            </w:r>
          </w:p>
          <w:p w:rsidR="00000000" w:rsidRDefault="00000000">
            <w:pPr>
              <w:pStyle w:val="table10"/>
              <w:spacing w:before="120"/>
              <w:ind w:left="284"/>
              <w:rPr>
                <w:color w:val="000000"/>
              </w:rPr>
            </w:pPr>
            <w:r>
              <w:rPr>
                <w:color w:val="000000"/>
              </w:rPr>
              <w:t>содержание никотина, мг/мл</w:t>
            </w:r>
          </w:p>
          <w:p w:rsidR="00000000" w:rsidRDefault="00000000">
            <w:pPr>
              <w:pStyle w:val="table10"/>
              <w:spacing w:before="120"/>
              <w:ind w:left="284"/>
              <w:rPr>
                <w:color w:val="000000"/>
              </w:rPr>
            </w:pPr>
            <w:r>
              <w:rPr>
                <w:color w:val="000000"/>
              </w:rPr>
              <w:t>условия хранения</w:t>
            </w:r>
          </w:p>
          <w:p w:rsidR="00000000" w:rsidRDefault="00000000">
            <w:pPr>
              <w:pStyle w:val="table10"/>
              <w:spacing w:before="120"/>
              <w:ind w:left="284"/>
              <w:rPr>
                <w:color w:val="000000"/>
              </w:rPr>
            </w:pPr>
            <w:r>
              <w:rPr>
                <w:color w:val="000000"/>
              </w:rPr>
              <w:t>сведения, предусмотренные в пункте 12 Положения о государственном регулировании производства, оборота и потребления табачного сырья и табачных изделий, производства, оборота и использования электронных систем курения, жидкостей для электронных систем курения, систем для потребления табака, утвержденного Декретом Президента Республики Беларусь от 17 декабря 2002 г. № 28</w:t>
            </w:r>
          </w:p>
          <w:p w:rsidR="00000000" w:rsidRDefault="00000000">
            <w:pPr>
              <w:pStyle w:val="table10"/>
              <w:spacing w:before="120"/>
              <w:ind w:left="284"/>
              <w:rPr>
                <w:color w:val="000000"/>
              </w:rPr>
            </w:pPr>
            <w:r>
              <w:rPr>
                <w:color w:val="000000"/>
              </w:rPr>
              <w:t>надписи:</w:t>
            </w:r>
          </w:p>
          <w:p w:rsidR="00000000" w:rsidRDefault="00000000">
            <w:pPr>
              <w:pStyle w:val="table10"/>
              <w:spacing w:before="120"/>
              <w:ind w:left="284"/>
              <w:rPr>
                <w:color w:val="000000"/>
              </w:rPr>
            </w:pPr>
            <w:r>
              <w:rPr>
                <w:color w:val="000000"/>
              </w:rPr>
              <w:t>«Запрещается продажа лицам моложе 18 лет»</w:t>
            </w:r>
          </w:p>
          <w:p w:rsidR="00000000" w:rsidRDefault="00000000">
            <w:pPr>
              <w:pStyle w:val="table10"/>
              <w:spacing w:before="120"/>
              <w:ind w:left="284"/>
              <w:rPr>
                <w:color w:val="000000"/>
              </w:rPr>
            </w:pPr>
            <w:r>
              <w:rPr>
                <w:color w:val="000000"/>
              </w:rPr>
              <w:t>«Продукт содержит никотин, являющийся ядовитым веществом, вызывающим сильную зависимость»</w:t>
            </w:r>
          </w:p>
          <w:p w:rsidR="00000000" w:rsidRDefault="00000000">
            <w:pPr>
              <w:pStyle w:val="table10"/>
              <w:spacing w:before="120"/>
              <w:ind w:left="284"/>
              <w:rPr>
                <w:color w:val="000000"/>
              </w:rPr>
            </w:pPr>
            <w:r>
              <w:rPr>
                <w:color w:val="000000"/>
              </w:rPr>
              <w:t>«Продукт вреден для Вашего здоровья»</w:t>
            </w:r>
          </w:p>
          <w:p w:rsidR="00000000" w:rsidRDefault="00000000">
            <w:pPr>
              <w:pStyle w:val="table10"/>
              <w:spacing w:before="120"/>
              <w:rPr>
                <w:color w:val="000000"/>
              </w:rPr>
            </w:pPr>
            <w:r>
              <w:rPr>
                <w:color w:val="000000"/>
              </w:rPr>
              <w:t>на потребительской упаковке (листе-вкладыше) должны быть указаны:</w:t>
            </w:r>
          </w:p>
          <w:p w:rsidR="00000000" w:rsidRDefault="00000000">
            <w:pPr>
              <w:pStyle w:val="table10"/>
              <w:spacing w:before="120"/>
              <w:ind w:left="284"/>
              <w:rPr>
                <w:color w:val="000000"/>
              </w:rPr>
            </w:pPr>
            <w:r>
              <w:rPr>
                <w:color w:val="000000"/>
              </w:rPr>
              <w:t>рекомендации по употреблению</w:t>
            </w:r>
          </w:p>
          <w:p w:rsidR="00000000" w:rsidRDefault="00000000">
            <w:pPr>
              <w:pStyle w:val="table10"/>
              <w:spacing w:before="120"/>
              <w:ind w:left="284"/>
              <w:rPr>
                <w:color w:val="000000"/>
              </w:rPr>
            </w:pPr>
            <w:r>
              <w:rPr>
                <w:color w:val="000000"/>
              </w:rPr>
              <w:t>надписи:</w:t>
            </w:r>
          </w:p>
          <w:p w:rsidR="00000000" w:rsidRDefault="00000000">
            <w:pPr>
              <w:pStyle w:val="table10"/>
              <w:spacing w:before="120"/>
              <w:ind w:left="284"/>
              <w:rPr>
                <w:color w:val="000000"/>
              </w:rPr>
            </w:pPr>
            <w:r>
              <w:rPr>
                <w:color w:val="000000"/>
              </w:rPr>
              <w:t>«Запрещается продажа лицам моложе 18 лет»</w:t>
            </w:r>
          </w:p>
          <w:p w:rsidR="00000000" w:rsidRDefault="00000000">
            <w:pPr>
              <w:pStyle w:val="table10"/>
              <w:spacing w:before="120"/>
              <w:ind w:left="284"/>
              <w:rPr>
                <w:color w:val="000000"/>
              </w:rPr>
            </w:pPr>
            <w:r>
              <w:rPr>
                <w:color w:val="000000"/>
              </w:rPr>
              <w:t>«Не рекомендуется лицам, не курящим и (или) не употребляющим никотиносодержащую продукцию»</w:t>
            </w:r>
          </w:p>
          <w:p w:rsidR="00000000" w:rsidRDefault="00000000">
            <w:pPr>
              <w:pStyle w:val="table10"/>
              <w:spacing w:before="120"/>
              <w:ind w:left="284"/>
              <w:rPr>
                <w:color w:val="000000"/>
              </w:rPr>
            </w:pPr>
            <w:r>
              <w:rPr>
                <w:color w:val="000000"/>
              </w:rPr>
              <w:t>«Хранить в местах, недоступных для детей и животных, вдали от пищевой продукции и корма»</w:t>
            </w:r>
          </w:p>
          <w:p w:rsidR="00000000" w:rsidRDefault="00000000">
            <w:pPr>
              <w:pStyle w:val="table10"/>
              <w:spacing w:before="120"/>
              <w:ind w:left="284"/>
              <w:rPr>
                <w:color w:val="000000"/>
              </w:rPr>
            </w:pPr>
            <w:r>
              <w:rPr>
                <w:color w:val="000000"/>
              </w:rPr>
              <w:t>«Продукт содержит никотин, являющийся ядовитым веществом, вызывающим сильную зависимость»</w:t>
            </w:r>
          </w:p>
          <w:p w:rsidR="00000000" w:rsidRDefault="00000000">
            <w:pPr>
              <w:pStyle w:val="table10"/>
              <w:spacing w:before="120"/>
              <w:ind w:left="284"/>
              <w:rPr>
                <w:color w:val="000000"/>
              </w:rPr>
            </w:pPr>
            <w:r>
              <w:rPr>
                <w:color w:val="000000"/>
              </w:rPr>
              <w:t>«Продукт вреден для Вашего здоровья»</w:t>
            </w:r>
          </w:p>
          <w:p w:rsidR="00000000" w:rsidRDefault="00000000">
            <w:pPr>
              <w:pStyle w:val="table10"/>
              <w:spacing w:before="120"/>
              <w:ind w:left="284"/>
              <w:rPr>
                <w:color w:val="000000"/>
              </w:rPr>
            </w:pPr>
            <w:r>
              <w:rPr>
                <w:color w:val="000000"/>
              </w:rPr>
              <w:t>«Продукт может вызывать аллергическую реакцию»</w:t>
            </w:r>
          </w:p>
          <w:p w:rsidR="00000000" w:rsidRDefault="00000000">
            <w:pPr>
              <w:pStyle w:val="table10"/>
              <w:spacing w:before="120"/>
              <w:ind w:left="284"/>
              <w:rPr>
                <w:color w:val="000000"/>
              </w:rPr>
            </w:pPr>
            <w:r>
              <w:rPr>
                <w:color w:val="000000"/>
              </w:rPr>
              <w:t>«Продукт противопоказан для употребления лицами с аллергией/чувствительностью к никотину и (или) другим компонентам, которым следует избегать употребления никотина по медицинским показаниям, с заболеваниями сердца, тяжелой артериальной гипертензией, гипертонией или диабетом, беременными и кормящими женщинами»</w:t>
            </w:r>
          </w:p>
          <w:p w:rsidR="00000000" w:rsidRDefault="00000000">
            <w:pPr>
              <w:pStyle w:val="table10"/>
              <w:spacing w:before="120"/>
              <w:ind w:left="284"/>
              <w:rPr>
                <w:color w:val="000000"/>
              </w:rPr>
            </w:pPr>
            <w:r>
              <w:rPr>
                <w:color w:val="000000"/>
              </w:rPr>
              <w:t>«Важная информация: немедленно прекратите употребление продукта и обратитесь за медицинской помощью в случае возникновения у Вас аритмии, аллергической реакции (например, сыпь, зуд или отек языка, ротовой полости или горла), недомогания, тошноты, головной боли или иного необычного или нежелательного эффекта»</w:t>
            </w:r>
          </w:p>
          <w:p w:rsidR="00000000" w:rsidRDefault="00000000">
            <w:pPr>
              <w:pStyle w:val="table10"/>
              <w:spacing w:before="120"/>
              <w:ind w:left="284"/>
              <w:rPr>
                <w:color w:val="000000"/>
              </w:rPr>
            </w:pPr>
            <w:r>
              <w:rPr>
                <w:color w:val="000000"/>
              </w:rPr>
              <w:t>«Предупреждение: в случае плохого самочувствия после употребления продукта необходимо обратиться за медицинской помощью и предъявить упаковку или этикетку продукта медицинскому персоналу»</w:t>
            </w:r>
          </w:p>
          <w:p w:rsidR="00000000" w:rsidRDefault="00000000">
            <w:pPr>
              <w:pStyle w:val="table10"/>
              <w:spacing w:before="120"/>
              <w:ind w:left="284"/>
              <w:rPr>
                <w:color w:val="000000"/>
              </w:rPr>
            </w:pPr>
            <w:r>
              <w:rPr>
                <w:color w:val="000000"/>
              </w:rPr>
              <w:t>«Не принимайте пищу, не пейте и не курите в процессе употребления продукта»</w:t>
            </w:r>
          </w:p>
          <w:p w:rsidR="00000000" w:rsidRDefault="00000000">
            <w:pPr>
              <w:pStyle w:val="table10"/>
              <w:spacing w:before="120"/>
              <w:ind w:left="284"/>
              <w:rPr>
                <w:color w:val="000000"/>
              </w:rPr>
            </w:pPr>
            <w:r>
              <w:rPr>
                <w:color w:val="000000"/>
              </w:rPr>
              <w:t>«Не допускается употребление более одной порции одновременно»</w:t>
            </w:r>
          </w:p>
          <w:p w:rsidR="00000000" w:rsidRDefault="00000000">
            <w:pPr>
              <w:pStyle w:val="table10"/>
              <w:spacing w:before="120"/>
              <w:ind w:left="284"/>
              <w:rPr>
                <w:color w:val="000000"/>
              </w:rPr>
            </w:pPr>
            <w:r>
              <w:rPr>
                <w:color w:val="000000"/>
              </w:rPr>
              <w:t>«После использования продукта упаковка должна утилизироваться как отходы потребления. Запрещается ее повторное использование»</w:t>
            </w:r>
          </w:p>
          <w:p w:rsidR="00000000" w:rsidRDefault="00000000">
            <w:pPr>
              <w:pStyle w:val="table10"/>
              <w:spacing w:before="120"/>
              <w:rPr>
                <w:color w:val="000000"/>
              </w:rPr>
            </w:pPr>
            <w:r>
              <w:rPr>
                <w:color w:val="000000"/>
              </w:rPr>
              <w:t>надписи «Продукт содержит никотин, являющийся ядовитым веществом, вызывающим сильную зависимость» или «Продукт вреден для Вашего здоровья» должны располагаться на лицевой стороне потребительской упаковки, занимать не менее 50 процентов ее площади, наноситься прописными буквами черного цвета на белом фоне, выделенным, четким, легко читаемым шрифтом максимально крупного размера. Междустрочный интервал не должен превышать высоту шрифта. Информация должна равномерно распределяться по всей площади, выделенной для надписей. При этом каждая надпись должна быть нанесена на примерно равное количество единиц потребительской упаковки продукции</w:t>
            </w:r>
          </w:p>
          <w:p w:rsidR="00000000" w:rsidRDefault="00000000">
            <w:pPr>
              <w:pStyle w:val="table10"/>
              <w:spacing w:before="120"/>
              <w:rPr>
                <w:color w:val="000000"/>
              </w:rPr>
            </w:pPr>
            <w:r>
              <w:rPr>
                <w:color w:val="000000"/>
              </w:rPr>
              <w:t>в маркировке потребительской упаковки не допускается использование слов, и (или) знаков, и (или) символов, которые могут вызвать ассоциации изделий с пищевой продукцией, в том числе с пищевыми добавками, или которые прямо или косвенно могут создать впечатление, что изделия имеют вкус пищевой продукции или продукт менее вреден для здоровья, чем табачная продукция. Также не допускается использование на потребительской упаковке изображений пищевой продукции, лекарственных средств, лекарственных растений, слов и (или) словосочетаний, которые прямо или косвенно могут вызвать ассоциации изделий с пищевой продукцией, лекарственными средствами или лекарственными растениями</w:t>
            </w:r>
          </w:p>
        </w:tc>
        <w:tc>
          <w:tcPr>
            <w:tcW w:w="7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из 2404</w:t>
            </w:r>
          </w:p>
          <w:p w:rsidR="00000000" w:rsidRDefault="00000000">
            <w:pPr>
              <w:pStyle w:val="table10"/>
              <w:spacing w:before="120"/>
              <w:rPr>
                <w:color w:val="000000"/>
              </w:rPr>
            </w:pPr>
            <w:r>
              <w:rPr>
                <w:color w:val="000000"/>
              </w:rPr>
              <w:t>из 8543</w:t>
            </w: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сертификация</w:t>
            </w:r>
          </w:p>
        </w:tc>
        <w:tc>
          <w:tcPr>
            <w:tcW w:w="0" w:type="auto"/>
            <w:vAlign w:val="center"/>
            <w:hideMark/>
          </w:tcPr>
          <w:p w:rsidR="00000000" w:rsidRDefault="00000000">
            <w:pPr>
              <w:rPr>
                <w:rFonts w:eastAsia="Times New Roman"/>
                <w:sz w:val="20"/>
                <w:szCs w:val="20"/>
              </w:rPr>
            </w:pPr>
          </w:p>
        </w:tc>
      </w:tr>
      <w:tr w:rsidR="00000000">
        <w:trPr>
          <w:trHeight w:val="238"/>
        </w:trPr>
        <w:tc>
          <w:tcPr>
            <w:tcW w:w="14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8. Исключен</w:t>
            </w: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7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14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bookmarkStart w:id="16" w:name="a54"/>
            <w:bookmarkEnd w:id="16"/>
            <w:r>
              <w:rPr>
                <w:color w:val="000000"/>
              </w:rPr>
              <w:t>9. Алкогольная продукция***** (за исключением продукции общественного питания в виде алкогольных напитков, произведенных путем смешения и (или) настаивания готовых алкогольных напитков с иными пищевыми продуктами, а также пива с объемной долей этилового спирта 7 и более процентов):</w:t>
            </w: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7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сертификация</w:t>
            </w:r>
          </w:p>
        </w:tc>
        <w:tc>
          <w:tcPr>
            <w:tcW w:w="0" w:type="auto"/>
            <w:vAlign w:val="center"/>
            <w:hideMark/>
          </w:tcPr>
          <w:p w:rsidR="00000000" w:rsidRDefault="00000000">
            <w:pPr>
              <w:rPr>
                <w:rFonts w:eastAsia="Times New Roman"/>
                <w:sz w:val="20"/>
                <w:szCs w:val="20"/>
              </w:rPr>
            </w:pPr>
          </w:p>
        </w:tc>
      </w:tr>
      <w:tr w:rsidR="00000000">
        <w:trPr>
          <w:trHeight w:val="238"/>
        </w:trPr>
        <w:tc>
          <w:tcPr>
            <w:tcW w:w="1443"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9.1. спирт этиловый неденатурированный из пищевого сырья</w:t>
            </w: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ГОСТ 5963 (пункты 1.3–1.5)</w:t>
            </w:r>
          </w:p>
        </w:tc>
        <w:tc>
          <w:tcPr>
            <w:tcW w:w="743"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2208</w:t>
            </w:r>
            <w:r>
              <w:rPr>
                <w:color w:val="000000"/>
              </w:rPr>
              <w:br/>
              <w:t>2207</w:t>
            </w: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СТБ 1334 (подпункты 4.1.2, 4.1.3, 4.1.5)</w:t>
            </w:r>
          </w:p>
        </w:tc>
        <w:tc>
          <w:tcPr>
            <w:tcW w:w="0" w:type="auto"/>
            <w:vMerge/>
            <w:tcBorders>
              <w:top w:val="nil"/>
              <w:left w:val="nil"/>
              <w:bottom w:val="nil"/>
              <w:right w:val="nil"/>
            </w:tcBorders>
            <w:vAlign w:val="center"/>
            <w:hideMark/>
          </w:tcPr>
          <w:p w:rsidR="00000000" w:rsidRDefault="00000000">
            <w:pPr>
              <w:rPr>
                <w:color w:val="000000"/>
                <w:sz w:val="20"/>
                <w:szCs w:val="20"/>
              </w:rPr>
            </w:pP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СТБ 1952 (подпункты 4.1.2, 4.1.3)</w:t>
            </w:r>
          </w:p>
        </w:tc>
        <w:tc>
          <w:tcPr>
            <w:tcW w:w="0" w:type="auto"/>
            <w:vMerge/>
            <w:tcBorders>
              <w:top w:val="nil"/>
              <w:left w:val="nil"/>
              <w:bottom w:val="nil"/>
              <w:right w:val="nil"/>
            </w:tcBorders>
            <w:vAlign w:val="center"/>
            <w:hideMark/>
          </w:tcPr>
          <w:p w:rsidR="00000000" w:rsidRDefault="00000000">
            <w:pPr>
              <w:rPr>
                <w:color w:val="000000"/>
                <w:sz w:val="20"/>
                <w:szCs w:val="20"/>
              </w:rPr>
            </w:pP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1443"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9.2. спиртовые настойки, полученные в результате дистилляции (перегонки) виноградного вина или выжимок винограда, в том числе коньячные спирты, коньяк и коньячные напитки (кроме ввозимых в качестве сырья предприятиями для собственного производства)</w:t>
            </w: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СТБ 1385 (подпункты 4.1.2–4.1.6)</w:t>
            </w:r>
          </w:p>
        </w:tc>
        <w:tc>
          <w:tcPr>
            <w:tcW w:w="743"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2208</w:t>
            </w: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СТБ 1386 (подпункты 5.2.1–5.2.5)</w:t>
            </w:r>
          </w:p>
        </w:tc>
        <w:tc>
          <w:tcPr>
            <w:tcW w:w="0" w:type="auto"/>
            <w:vMerge/>
            <w:tcBorders>
              <w:top w:val="nil"/>
              <w:left w:val="nil"/>
              <w:bottom w:val="nil"/>
              <w:right w:val="nil"/>
            </w:tcBorders>
            <w:vAlign w:val="center"/>
            <w:hideMark/>
          </w:tcPr>
          <w:p w:rsidR="00000000" w:rsidRDefault="00000000">
            <w:pPr>
              <w:rPr>
                <w:color w:val="000000"/>
                <w:sz w:val="20"/>
                <w:szCs w:val="20"/>
              </w:rPr>
            </w:pP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435"/>
        </w:trPr>
        <w:tc>
          <w:tcPr>
            <w:tcW w:w="1443"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9.3. виски, ром и тафия, джин и можжевеловая настойка, текила, ликер и сладкие напитки и иные алкогольные напитки с объемной долей этилового спирта 7 и более процентов (кроме ввозимых в качестве сырья предприятиями для собственного производства)</w:t>
            </w: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СТБ 2500 (подпункты 5.2.1–5.2.11)</w:t>
            </w:r>
          </w:p>
        </w:tc>
        <w:tc>
          <w:tcPr>
            <w:tcW w:w="7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2208</w:t>
            </w: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СТБ 2138 (подпункты 5.2.1–5.2.5)</w:t>
            </w:r>
          </w:p>
        </w:tc>
        <w:tc>
          <w:tcPr>
            <w:tcW w:w="7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СТБ 2369 (подпункты 4.2.1–4.2.3)</w:t>
            </w:r>
          </w:p>
        </w:tc>
        <w:tc>
          <w:tcPr>
            <w:tcW w:w="7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СТБ 2368 (подпункты 4.2.1–4.2.3)</w:t>
            </w:r>
          </w:p>
        </w:tc>
        <w:tc>
          <w:tcPr>
            <w:tcW w:w="7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1443"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9.4. пищевые спиртовые полуфабрикаты для производства напитков (виноматериалы, сброженно-спиртованные и спиртованные соки и др.) (кроме ввозимых в качестве сырья предприятиями для собственного производства)</w:t>
            </w: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СТБ 2044 (подпункты 4.1.2–4.1.12)</w:t>
            </w:r>
          </w:p>
        </w:tc>
        <w:tc>
          <w:tcPr>
            <w:tcW w:w="743"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2106 90 200 0</w:t>
            </w:r>
            <w:r>
              <w:rPr>
                <w:color w:val="000000"/>
              </w:rPr>
              <w:br/>
              <w:t>2204</w:t>
            </w:r>
            <w:r>
              <w:rPr>
                <w:color w:val="000000"/>
              </w:rPr>
              <w:br/>
              <w:t>2208</w:t>
            </w:r>
            <w:r>
              <w:rPr>
                <w:color w:val="000000"/>
              </w:rPr>
              <w:br/>
              <w:t>2206 00</w:t>
            </w:r>
            <w:r>
              <w:rPr>
                <w:color w:val="000000"/>
              </w:rPr>
              <w:br/>
              <w:t>3302</w:t>
            </w: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СТБ 1832 (подпункты 5.2.1–5.2.9)</w:t>
            </w:r>
          </w:p>
        </w:tc>
        <w:tc>
          <w:tcPr>
            <w:tcW w:w="0" w:type="auto"/>
            <w:vMerge/>
            <w:tcBorders>
              <w:top w:val="nil"/>
              <w:left w:val="nil"/>
              <w:bottom w:val="nil"/>
              <w:right w:val="nil"/>
            </w:tcBorders>
            <w:vAlign w:val="center"/>
            <w:hideMark/>
          </w:tcPr>
          <w:p w:rsidR="00000000" w:rsidRDefault="00000000">
            <w:pPr>
              <w:rPr>
                <w:color w:val="000000"/>
                <w:sz w:val="20"/>
                <w:szCs w:val="20"/>
              </w:rPr>
            </w:pP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СТБ 1694 (подпункты 5.2.1–5.2.6, 5.2.8–5.2.10)</w:t>
            </w:r>
          </w:p>
        </w:tc>
        <w:tc>
          <w:tcPr>
            <w:tcW w:w="0" w:type="auto"/>
            <w:vMerge/>
            <w:tcBorders>
              <w:top w:val="nil"/>
              <w:left w:val="nil"/>
              <w:bottom w:val="nil"/>
              <w:right w:val="nil"/>
            </w:tcBorders>
            <w:vAlign w:val="center"/>
            <w:hideMark/>
          </w:tcPr>
          <w:p w:rsidR="00000000" w:rsidRDefault="00000000">
            <w:pPr>
              <w:rPr>
                <w:color w:val="000000"/>
                <w:sz w:val="20"/>
                <w:szCs w:val="20"/>
              </w:rPr>
            </w:pP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СТБ 1695 (подпункты 5.2.1–5.2.6, 5.2.8, 5.2.9)</w:t>
            </w:r>
          </w:p>
        </w:tc>
        <w:tc>
          <w:tcPr>
            <w:tcW w:w="0" w:type="auto"/>
            <w:vMerge/>
            <w:tcBorders>
              <w:top w:val="nil"/>
              <w:left w:val="nil"/>
              <w:bottom w:val="nil"/>
              <w:right w:val="nil"/>
            </w:tcBorders>
            <w:vAlign w:val="center"/>
            <w:hideMark/>
          </w:tcPr>
          <w:p w:rsidR="00000000" w:rsidRDefault="00000000">
            <w:pPr>
              <w:rPr>
                <w:color w:val="000000"/>
                <w:sz w:val="20"/>
                <w:szCs w:val="20"/>
              </w:rPr>
            </w:pP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ГОСТ 7208 (подпункты 2.2.1–2.2.9, 2.2.11–2.2.16)</w:t>
            </w:r>
          </w:p>
        </w:tc>
        <w:tc>
          <w:tcPr>
            <w:tcW w:w="0" w:type="auto"/>
            <w:vMerge/>
            <w:tcBorders>
              <w:top w:val="nil"/>
              <w:left w:val="nil"/>
              <w:bottom w:val="nil"/>
              <w:right w:val="nil"/>
            </w:tcBorders>
            <w:vAlign w:val="center"/>
            <w:hideMark/>
          </w:tcPr>
          <w:p w:rsidR="00000000" w:rsidRDefault="00000000">
            <w:pPr>
              <w:rPr>
                <w:color w:val="000000"/>
                <w:sz w:val="20"/>
                <w:szCs w:val="20"/>
              </w:rPr>
            </w:pP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СТБ 1378 (подпункты 4.2.1–4.2.6)</w:t>
            </w:r>
          </w:p>
        </w:tc>
        <w:tc>
          <w:tcPr>
            <w:tcW w:w="0" w:type="auto"/>
            <w:vMerge/>
            <w:tcBorders>
              <w:top w:val="nil"/>
              <w:left w:val="nil"/>
              <w:bottom w:val="nil"/>
              <w:right w:val="nil"/>
            </w:tcBorders>
            <w:vAlign w:val="center"/>
            <w:hideMark/>
          </w:tcPr>
          <w:p w:rsidR="00000000" w:rsidRDefault="00000000">
            <w:pPr>
              <w:rPr>
                <w:color w:val="000000"/>
                <w:sz w:val="20"/>
                <w:szCs w:val="20"/>
              </w:rPr>
            </w:pP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СТБ 2139 (подпункты 5.1.2–5.1.6)</w:t>
            </w:r>
          </w:p>
        </w:tc>
        <w:tc>
          <w:tcPr>
            <w:tcW w:w="0" w:type="auto"/>
            <w:vMerge/>
            <w:tcBorders>
              <w:top w:val="nil"/>
              <w:left w:val="nil"/>
              <w:bottom w:val="nil"/>
              <w:right w:val="nil"/>
            </w:tcBorders>
            <w:vAlign w:val="center"/>
            <w:hideMark/>
          </w:tcPr>
          <w:p w:rsidR="00000000" w:rsidRDefault="00000000">
            <w:pPr>
              <w:rPr>
                <w:color w:val="000000"/>
                <w:sz w:val="20"/>
                <w:szCs w:val="20"/>
              </w:rPr>
            </w:pP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СТБ 924 (подпункты 4.2.1–4.2.5)</w:t>
            </w:r>
          </w:p>
        </w:tc>
        <w:tc>
          <w:tcPr>
            <w:tcW w:w="0" w:type="auto"/>
            <w:vMerge/>
            <w:tcBorders>
              <w:top w:val="nil"/>
              <w:left w:val="nil"/>
              <w:bottom w:val="nil"/>
              <w:right w:val="nil"/>
            </w:tcBorders>
            <w:vAlign w:val="center"/>
            <w:hideMark/>
          </w:tcPr>
          <w:p w:rsidR="00000000" w:rsidRDefault="00000000">
            <w:pPr>
              <w:rPr>
                <w:color w:val="000000"/>
                <w:sz w:val="20"/>
                <w:szCs w:val="20"/>
              </w:rPr>
            </w:pP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СТБ 2354 (подпункты 4.1.2–4.1.4)</w:t>
            </w:r>
          </w:p>
        </w:tc>
        <w:tc>
          <w:tcPr>
            <w:tcW w:w="0" w:type="auto"/>
            <w:vMerge/>
            <w:tcBorders>
              <w:top w:val="nil"/>
              <w:left w:val="nil"/>
              <w:bottom w:val="nil"/>
              <w:right w:val="nil"/>
            </w:tcBorders>
            <w:vAlign w:val="center"/>
            <w:hideMark/>
          </w:tcPr>
          <w:p w:rsidR="00000000" w:rsidRDefault="00000000">
            <w:pPr>
              <w:rPr>
                <w:color w:val="000000"/>
                <w:sz w:val="20"/>
                <w:szCs w:val="20"/>
              </w:rPr>
            </w:pP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СТБ 950 (подпункты 5.2.1–5.2.10)</w:t>
            </w:r>
          </w:p>
        </w:tc>
        <w:tc>
          <w:tcPr>
            <w:tcW w:w="0" w:type="auto"/>
            <w:vMerge/>
            <w:tcBorders>
              <w:top w:val="nil"/>
              <w:left w:val="nil"/>
              <w:bottom w:val="nil"/>
              <w:right w:val="nil"/>
            </w:tcBorders>
            <w:vAlign w:val="center"/>
            <w:hideMark/>
          </w:tcPr>
          <w:p w:rsidR="00000000" w:rsidRDefault="00000000">
            <w:pPr>
              <w:rPr>
                <w:color w:val="000000"/>
                <w:sz w:val="20"/>
                <w:szCs w:val="20"/>
              </w:rPr>
            </w:pP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14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9.5. водка</w:t>
            </w: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СТБ 978 (подпункты 4.2.2–4.2.7)</w:t>
            </w:r>
          </w:p>
        </w:tc>
        <w:tc>
          <w:tcPr>
            <w:tcW w:w="7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2208 60</w:t>
            </w: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14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9.6. напитки винные</w:t>
            </w: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СТБ 979 (подпункты 3.2.1–3.2.7)</w:t>
            </w:r>
          </w:p>
        </w:tc>
        <w:tc>
          <w:tcPr>
            <w:tcW w:w="7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2206 00</w:t>
            </w: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1443"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9.7. вина виноградные и вина плодовые (фруктовые)</w:t>
            </w: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СТБ 950 (подпункты 5.2.1–5.2.10)</w:t>
            </w:r>
          </w:p>
        </w:tc>
        <w:tc>
          <w:tcPr>
            <w:tcW w:w="743"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2204</w:t>
            </w:r>
            <w:r>
              <w:rPr>
                <w:color w:val="000000"/>
              </w:rPr>
              <w:br/>
              <w:t>2205</w:t>
            </w:r>
            <w:r>
              <w:rPr>
                <w:color w:val="000000"/>
              </w:rPr>
              <w:br/>
              <w:t>2206 00</w:t>
            </w: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СТБ 1529 (подпункты 5.2.1–5.2.6)</w:t>
            </w:r>
          </w:p>
        </w:tc>
        <w:tc>
          <w:tcPr>
            <w:tcW w:w="0" w:type="auto"/>
            <w:vMerge/>
            <w:tcBorders>
              <w:top w:val="nil"/>
              <w:left w:val="nil"/>
              <w:bottom w:val="nil"/>
              <w:right w:val="nil"/>
            </w:tcBorders>
            <w:vAlign w:val="center"/>
            <w:hideMark/>
          </w:tcPr>
          <w:p w:rsidR="00000000" w:rsidRDefault="00000000">
            <w:pPr>
              <w:rPr>
                <w:color w:val="000000"/>
                <w:sz w:val="20"/>
                <w:szCs w:val="20"/>
              </w:rPr>
            </w:pP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СТБ 1694 (подпункты 5.2.1–5.2.10)</w:t>
            </w:r>
          </w:p>
        </w:tc>
        <w:tc>
          <w:tcPr>
            <w:tcW w:w="0" w:type="auto"/>
            <w:vMerge/>
            <w:tcBorders>
              <w:top w:val="nil"/>
              <w:left w:val="nil"/>
              <w:bottom w:val="nil"/>
              <w:right w:val="nil"/>
            </w:tcBorders>
            <w:vAlign w:val="center"/>
            <w:hideMark/>
          </w:tcPr>
          <w:p w:rsidR="00000000" w:rsidRDefault="00000000">
            <w:pPr>
              <w:rPr>
                <w:color w:val="000000"/>
                <w:sz w:val="20"/>
                <w:szCs w:val="20"/>
              </w:rPr>
            </w:pP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СТБ 1695 (подпункты 5.2.1–5.2.6, 5.2.8, 5.2.9)</w:t>
            </w:r>
          </w:p>
        </w:tc>
        <w:tc>
          <w:tcPr>
            <w:tcW w:w="0" w:type="auto"/>
            <w:vMerge/>
            <w:tcBorders>
              <w:top w:val="nil"/>
              <w:left w:val="nil"/>
              <w:bottom w:val="nil"/>
              <w:right w:val="nil"/>
            </w:tcBorders>
            <w:vAlign w:val="center"/>
            <w:hideMark/>
          </w:tcPr>
          <w:p w:rsidR="00000000" w:rsidRDefault="00000000">
            <w:pPr>
              <w:rPr>
                <w:color w:val="000000"/>
                <w:sz w:val="20"/>
                <w:szCs w:val="20"/>
              </w:rPr>
            </w:pP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ГОСТ 7208 (подпункты 2.2.1–2.2.12, 2.2.14–2.2.16)</w:t>
            </w:r>
          </w:p>
        </w:tc>
        <w:tc>
          <w:tcPr>
            <w:tcW w:w="0" w:type="auto"/>
            <w:vMerge/>
            <w:tcBorders>
              <w:top w:val="nil"/>
              <w:left w:val="nil"/>
              <w:bottom w:val="nil"/>
              <w:right w:val="nil"/>
            </w:tcBorders>
            <w:vAlign w:val="center"/>
            <w:hideMark/>
          </w:tcPr>
          <w:p w:rsidR="00000000" w:rsidRDefault="00000000">
            <w:pPr>
              <w:rPr>
                <w:color w:val="000000"/>
                <w:sz w:val="20"/>
                <w:szCs w:val="20"/>
              </w:rPr>
            </w:pP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ГОСТ 33336 (подпункты 5.1.2–5.1.4)</w:t>
            </w:r>
          </w:p>
        </w:tc>
        <w:tc>
          <w:tcPr>
            <w:tcW w:w="0" w:type="auto"/>
            <w:vMerge/>
            <w:tcBorders>
              <w:top w:val="nil"/>
              <w:left w:val="nil"/>
              <w:bottom w:val="nil"/>
              <w:right w:val="nil"/>
            </w:tcBorders>
            <w:vAlign w:val="center"/>
            <w:hideMark/>
          </w:tcPr>
          <w:p w:rsidR="00000000" w:rsidRDefault="00000000">
            <w:pPr>
              <w:rPr>
                <w:color w:val="000000"/>
                <w:sz w:val="20"/>
                <w:szCs w:val="20"/>
              </w:rPr>
            </w:pP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ГОСТ 13918 (подпункты 3.2.1–3.2.7)</w:t>
            </w:r>
          </w:p>
        </w:tc>
        <w:tc>
          <w:tcPr>
            <w:tcW w:w="0" w:type="auto"/>
            <w:vMerge/>
            <w:tcBorders>
              <w:top w:val="nil"/>
              <w:left w:val="nil"/>
              <w:bottom w:val="nil"/>
              <w:right w:val="nil"/>
            </w:tcBorders>
            <w:vAlign w:val="center"/>
            <w:hideMark/>
          </w:tcPr>
          <w:p w:rsidR="00000000" w:rsidRDefault="00000000">
            <w:pPr>
              <w:rPr>
                <w:color w:val="000000"/>
                <w:sz w:val="20"/>
                <w:szCs w:val="20"/>
              </w:rPr>
            </w:pP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14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bookmarkStart w:id="17" w:name="a51"/>
            <w:bookmarkEnd w:id="17"/>
            <w:r>
              <w:rPr>
                <w:color w:val="000000"/>
              </w:rPr>
              <w:t>10. Средства моющие синтетические для стирки: порошкообразные, гранулированные, агломерированные, формованные (таблетки, блоки и другое), пастообразные, жидкие (в том числе загущенные, включая гели)</w:t>
            </w: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ГОСТ 32479 (пункт 4 таблицы 1 подпункта 3.1.4, подпункт 3.1.5)</w:t>
            </w:r>
          </w:p>
        </w:tc>
        <w:tc>
          <w:tcPr>
            <w:tcW w:w="7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из 3402 50 000 0</w:t>
            </w:r>
            <w:r>
              <w:rPr>
                <w:color w:val="000000"/>
              </w:rPr>
              <w:br/>
              <w:t>3402 90 900 0</w:t>
            </w: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декларирование соответствия</w:t>
            </w:r>
          </w:p>
        </w:tc>
        <w:tc>
          <w:tcPr>
            <w:tcW w:w="0" w:type="auto"/>
            <w:vAlign w:val="center"/>
            <w:hideMark/>
          </w:tcPr>
          <w:p w:rsidR="00000000" w:rsidRDefault="00000000">
            <w:pPr>
              <w:rPr>
                <w:rFonts w:eastAsia="Times New Roman"/>
                <w:sz w:val="20"/>
                <w:szCs w:val="20"/>
              </w:rPr>
            </w:pPr>
          </w:p>
        </w:tc>
      </w:tr>
      <w:tr w:rsidR="00000000">
        <w:trPr>
          <w:trHeight w:val="238"/>
        </w:trPr>
        <w:tc>
          <w:tcPr>
            <w:tcW w:w="5000" w:type="pct"/>
            <w:gridSpan w:val="4"/>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bookmarkStart w:id="18" w:name="a39"/>
            <w:bookmarkEnd w:id="18"/>
            <w:r>
              <w:rPr>
                <w:color w:val="000000"/>
              </w:rPr>
              <w:t>ГЛАВА 2</w:t>
            </w:r>
            <w:r>
              <w:rPr>
                <w:color w:val="000000"/>
              </w:rPr>
              <w:br/>
              <w:t>УСЛУГИ</w:t>
            </w:r>
          </w:p>
        </w:tc>
        <w:tc>
          <w:tcPr>
            <w:tcW w:w="0" w:type="auto"/>
            <w:vAlign w:val="center"/>
            <w:hideMark/>
          </w:tcPr>
          <w:p w:rsidR="00000000" w:rsidRDefault="00000000">
            <w:pPr>
              <w:rPr>
                <w:rFonts w:eastAsia="Times New Roman"/>
                <w:sz w:val="20"/>
                <w:szCs w:val="20"/>
              </w:rPr>
            </w:pPr>
          </w:p>
        </w:tc>
      </w:tr>
      <w:tr w:rsidR="00000000">
        <w:trPr>
          <w:trHeight w:val="238"/>
        </w:trPr>
        <w:tc>
          <w:tcPr>
            <w:tcW w:w="14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bookmarkStart w:id="19" w:name="a44"/>
            <w:bookmarkEnd w:id="19"/>
            <w:r>
              <w:rPr>
                <w:color w:val="000000"/>
              </w:rPr>
              <w:t>11. Услуги по техническому обслуживанию игровых автоматов</w:t>
            </w: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СТБ 2179 (разделы 4 –10)</w:t>
            </w:r>
          </w:p>
        </w:tc>
        <w:tc>
          <w:tcPr>
            <w:tcW w:w="7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сертификация</w:t>
            </w:r>
          </w:p>
        </w:tc>
        <w:tc>
          <w:tcPr>
            <w:tcW w:w="0" w:type="auto"/>
            <w:vAlign w:val="center"/>
            <w:hideMark/>
          </w:tcPr>
          <w:p w:rsidR="00000000" w:rsidRDefault="00000000">
            <w:pPr>
              <w:rPr>
                <w:rFonts w:eastAsia="Times New Roman"/>
                <w:sz w:val="20"/>
                <w:szCs w:val="20"/>
              </w:rPr>
            </w:pPr>
          </w:p>
        </w:tc>
      </w:tr>
      <w:tr w:rsidR="00000000">
        <w:trPr>
          <w:trHeight w:val="238"/>
        </w:trPr>
        <w:tc>
          <w:tcPr>
            <w:tcW w:w="1443"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bookmarkStart w:id="20" w:name="a50"/>
            <w:bookmarkEnd w:id="20"/>
            <w:r>
              <w:rPr>
                <w:color w:val="000000"/>
              </w:rPr>
              <w:t>12. Услуги по подготовке, переподготовке и повышению квалификации водителей механических транспортных средств, самоходных машин</w:t>
            </w: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СТБ 2191.1 (разделы 4–6, приложения А, Б)</w:t>
            </w:r>
          </w:p>
        </w:tc>
        <w:tc>
          <w:tcPr>
            <w:tcW w:w="7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c>
          <w:tcPr>
            <w:tcW w:w="0" w:type="auto"/>
            <w:vAlign w:val="center"/>
            <w:hideMark/>
          </w:tcPr>
          <w:p w:rsidR="00000000" w:rsidRDefault="00000000">
            <w:pPr>
              <w:rPr>
                <w:rFonts w:eastAsia="Times New Roman"/>
                <w:sz w:val="20"/>
                <w:szCs w:val="20"/>
              </w:rPr>
            </w:pPr>
          </w:p>
        </w:tc>
      </w:tr>
      <w:tr w:rsidR="00000000">
        <w:trPr>
          <w:trHeight w:val="238"/>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231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СТБ 2191.2 (разделы 4–9, приложения А, Б, В, Г, Д, Д1, Д2, Е)</w:t>
            </w:r>
          </w:p>
        </w:tc>
        <w:tc>
          <w:tcPr>
            <w:tcW w:w="74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49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0" w:type="auto"/>
            <w:vAlign w:val="center"/>
            <w:hideMark/>
          </w:tcPr>
          <w:p w:rsidR="00000000" w:rsidRDefault="00000000">
            <w:pPr>
              <w:rPr>
                <w:rFonts w:eastAsia="Times New Roman"/>
                <w:sz w:val="20"/>
                <w:szCs w:val="20"/>
              </w:rPr>
            </w:pPr>
          </w:p>
        </w:tc>
      </w:tr>
      <w:tr w:rsidR="00000000">
        <w:trPr>
          <w:trHeight w:val="238"/>
        </w:trPr>
        <w:tc>
          <w:tcPr>
            <w:tcW w:w="5000" w:type="pct"/>
            <w:gridSpan w:val="4"/>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ГЛАВА 3</w:t>
            </w:r>
            <w:r>
              <w:rPr>
                <w:color w:val="000000"/>
              </w:rPr>
              <w:br/>
              <w:t>ПРОФЕССИОНАЛЬНАЯ КОМПЕТЕНТНОСТЬ ПЕРСОНАЛА</w:t>
            </w:r>
          </w:p>
        </w:tc>
        <w:tc>
          <w:tcPr>
            <w:tcW w:w="0" w:type="auto"/>
            <w:vAlign w:val="center"/>
            <w:hideMark/>
          </w:tcPr>
          <w:p w:rsidR="00000000" w:rsidRDefault="00000000">
            <w:pPr>
              <w:rPr>
                <w:rFonts w:eastAsia="Times New Roman"/>
                <w:sz w:val="20"/>
                <w:szCs w:val="20"/>
              </w:rPr>
            </w:pPr>
          </w:p>
        </w:tc>
      </w:tr>
      <w:tr w:rsidR="00000000">
        <w:trPr>
          <w:trHeight w:val="238"/>
        </w:trPr>
        <w:tc>
          <w:tcPr>
            <w:tcW w:w="1443" w:type="pct"/>
            <w:tcBorders>
              <w:top w:val="nil"/>
              <w:left w:val="nil"/>
              <w:bottom w:val="single" w:sz="4" w:space="0" w:color="auto"/>
              <w:right w:val="nil"/>
            </w:tcBorders>
            <w:tcMar>
              <w:top w:w="0" w:type="dxa"/>
              <w:left w:w="6" w:type="dxa"/>
              <w:bottom w:w="0" w:type="dxa"/>
              <w:right w:w="6" w:type="dxa"/>
            </w:tcMar>
            <w:hideMark/>
          </w:tcPr>
          <w:p w:rsidR="00000000" w:rsidRDefault="00000000">
            <w:pPr>
              <w:pStyle w:val="table10"/>
              <w:spacing w:before="120"/>
              <w:rPr>
                <w:color w:val="000000"/>
              </w:rPr>
            </w:pPr>
            <w:bookmarkStart w:id="21" w:name="a10"/>
            <w:bookmarkEnd w:id="21"/>
            <w:r>
              <w:rPr>
                <w:color w:val="000000"/>
              </w:rPr>
              <w:t>13. Профессиональная компетентность физических лиц, являющихся работниками юридического лица или индивидуального предпринимателя либо индивидуальными предпринимателями, осуществляющими поверку средств измерений, применяемых в сфере законодательной метрологии</w:t>
            </w:r>
          </w:p>
        </w:tc>
        <w:tc>
          <w:tcPr>
            <w:tcW w:w="2318" w:type="pct"/>
            <w:tcBorders>
              <w:top w:val="nil"/>
              <w:left w:val="nil"/>
              <w:bottom w:val="single" w:sz="4" w:space="0" w:color="auto"/>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СТБ 5.1.14 (раздел 5)</w:t>
            </w:r>
          </w:p>
        </w:tc>
        <w:tc>
          <w:tcPr>
            <w:tcW w:w="743" w:type="pct"/>
            <w:tcBorders>
              <w:top w:val="nil"/>
              <w:left w:val="nil"/>
              <w:bottom w:val="single" w:sz="4" w:space="0" w:color="auto"/>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496" w:type="pct"/>
            <w:tcBorders>
              <w:top w:val="nil"/>
              <w:left w:val="nil"/>
              <w:bottom w:val="single" w:sz="4" w:space="0" w:color="auto"/>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сертификация</w:t>
            </w:r>
          </w:p>
        </w:tc>
        <w:tc>
          <w:tcPr>
            <w:tcW w:w="0" w:type="auto"/>
            <w:vAlign w:val="center"/>
            <w:hideMark/>
          </w:tcPr>
          <w:p w:rsidR="00000000" w:rsidRDefault="00000000">
            <w:pPr>
              <w:rPr>
                <w:rFonts w:eastAsia="Times New Roman"/>
                <w:sz w:val="20"/>
                <w:szCs w:val="20"/>
              </w:rPr>
            </w:pPr>
          </w:p>
        </w:tc>
      </w:tr>
    </w:tbl>
    <w:p w:rsidR="00000000" w:rsidRDefault="00000000">
      <w:pPr>
        <w:pStyle w:val="newncpi"/>
        <w:rPr>
          <w:color w:val="000000"/>
        </w:rPr>
      </w:pPr>
      <w:r>
        <w:rPr>
          <w:color w:val="000000"/>
        </w:rPr>
        <w:t> </w:t>
      </w:r>
    </w:p>
    <w:p w:rsidR="00000000" w:rsidRDefault="00000000">
      <w:pPr>
        <w:pStyle w:val="snoskiline"/>
        <w:rPr>
          <w:color w:val="000000"/>
        </w:rPr>
      </w:pPr>
      <w:r>
        <w:rPr>
          <w:color w:val="000000"/>
        </w:rPr>
        <w:t>______________________________</w:t>
      </w:r>
    </w:p>
    <w:p w:rsidR="00000000" w:rsidRDefault="00000000">
      <w:pPr>
        <w:pStyle w:val="snoski"/>
        <w:spacing w:before="160" w:after="160"/>
        <w:ind w:firstLine="567"/>
        <w:rPr>
          <w:color w:val="000000"/>
        </w:rPr>
      </w:pPr>
      <w:bookmarkStart w:id="22" w:name="a12"/>
      <w:bookmarkEnd w:id="22"/>
      <w:r>
        <w:rPr>
          <w:color w:val="000000"/>
        </w:rPr>
        <w:t>* Для целей настоящего перечня под объектами обязательного подтверждения соответствия Национальной системы подтверждения соответствия Республики Беларусь понимаются объекты оценки соответствия техническим требованиям в значении, установленном Указом Президента Республики Беларусь от 20 июля 2016 г. № 278 «О мерах по обязательному подтверждению соответствия».</w:t>
      </w:r>
    </w:p>
    <w:p w:rsidR="00000000" w:rsidRDefault="00000000">
      <w:pPr>
        <w:pStyle w:val="snoski"/>
        <w:spacing w:before="160" w:after="160"/>
        <w:ind w:firstLine="567"/>
        <w:rPr>
          <w:color w:val="000000"/>
        </w:rPr>
      </w:pPr>
      <w:bookmarkStart w:id="23" w:name="a11"/>
      <w:bookmarkEnd w:id="23"/>
      <w:r>
        <w:rPr>
          <w:color w:val="000000"/>
        </w:rPr>
        <w:t>** Для целей настоящего перечня объект обязательного подтверждения соответствия определяется наименованием продукции (товаров). Коды единой Товарной номенклатуры внешнеэкономической деятельности Евразийского экономического союза применяются исключительно в целях идентификации ввозимой продукции (товаров) на территорию Республики Беларусь при их таможенном декларировании.</w:t>
      </w:r>
    </w:p>
    <w:p w:rsidR="00000000" w:rsidRDefault="00000000">
      <w:pPr>
        <w:pStyle w:val="snoski"/>
        <w:spacing w:before="160" w:after="160"/>
        <w:ind w:firstLine="567"/>
        <w:rPr>
          <w:color w:val="000000"/>
        </w:rPr>
      </w:pPr>
      <w:bookmarkStart w:id="24" w:name="a14"/>
      <w:bookmarkEnd w:id="24"/>
      <w:r>
        <w:rPr>
          <w:color w:val="000000"/>
        </w:rPr>
        <w:t>*** До вступления в силу технического регламента Евразийского экономического союза о требованиях к энергетической эффективности электрических энергопотребляющих устройств.</w:t>
      </w:r>
    </w:p>
    <w:p w:rsidR="00000000" w:rsidRDefault="00000000">
      <w:pPr>
        <w:pStyle w:val="snoski"/>
        <w:spacing w:before="160" w:after="160"/>
        <w:ind w:firstLine="567"/>
        <w:rPr>
          <w:color w:val="000000"/>
        </w:rPr>
      </w:pPr>
      <w:bookmarkStart w:id="25" w:name="a48"/>
      <w:bookmarkEnd w:id="25"/>
      <w:r>
        <w:rPr>
          <w:color w:val="000000"/>
        </w:rPr>
        <w:t>**** До вступления в силу технического регламента Евразийского экономического союза на никотиносодержащую продукцию.</w:t>
      </w:r>
    </w:p>
    <w:p w:rsidR="00723BFB" w:rsidRDefault="00000000">
      <w:pPr>
        <w:pStyle w:val="snoski"/>
        <w:spacing w:before="160" w:after="160"/>
        <w:ind w:firstLine="567"/>
        <w:rPr>
          <w:color w:val="000000"/>
        </w:rPr>
      </w:pPr>
      <w:bookmarkStart w:id="26" w:name="a49"/>
      <w:bookmarkEnd w:id="26"/>
      <w:r>
        <w:rPr>
          <w:color w:val="000000"/>
        </w:rPr>
        <w:t>***** До вступления в силу технического регламента Евразийского экономического союза о безопасности алкогольной продукции. Для целей настоящего перечня термин «алкогольная продукция» применяется в значении, определенном в Законе Республики Беларусь от 27 августа 2008 г. № 429-З «О государственном регулировании производства и оборота алкогольной, непищевой спиртосодержащей продукции и непищевого этилового спирта».</w:t>
      </w:r>
    </w:p>
    <w:sectPr w:rsidR="00723BF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49D"/>
    <w:rsid w:val="001B4196"/>
    <w:rsid w:val="00723BFB"/>
    <w:rsid w:val="00756F9F"/>
    <w:rsid w:val="007D049D"/>
    <w:rsid w:val="009D0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CC3BD1-8499-4F6A-9523-01A5D4FC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pPr>
      <w:spacing w:before="360" w:after="360" w:line="240" w:lineRule="auto"/>
      <w:ind w:right="2268"/>
    </w:pPr>
    <w:rPr>
      <w:rFonts w:ascii="Times New Roman" w:hAnsi="Times New Roman" w:cs="Times New Roman"/>
      <w:b/>
      <w:bCs/>
      <w:kern w:val="0"/>
    </w:rPr>
  </w:style>
  <w:style w:type="paragraph" w:customStyle="1" w:styleId="titleu">
    <w:name w:val="titleu"/>
    <w:basedOn w:val="a"/>
    <w:pPr>
      <w:spacing w:before="360" w:after="360" w:line="240" w:lineRule="auto"/>
    </w:pPr>
    <w:rPr>
      <w:rFonts w:ascii="Times New Roman" w:hAnsi="Times New Roman" w:cs="Times New Roman"/>
      <w:b/>
      <w:bCs/>
      <w:kern w:val="0"/>
    </w:rPr>
  </w:style>
  <w:style w:type="paragraph" w:customStyle="1" w:styleId="point">
    <w:name w:val="point"/>
    <w:basedOn w:val="a"/>
    <w:pPr>
      <w:spacing w:before="160" w:line="240" w:lineRule="auto"/>
      <w:ind w:firstLine="567"/>
      <w:jc w:val="both"/>
    </w:pPr>
    <w:rPr>
      <w:rFonts w:ascii="Times New Roman" w:hAnsi="Times New Roman" w:cs="Times New Roman"/>
      <w:kern w:val="0"/>
    </w:rPr>
  </w:style>
  <w:style w:type="paragraph" w:customStyle="1" w:styleId="preamble">
    <w:name w:val="preamble"/>
    <w:basedOn w:val="a"/>
    <w:pPr>
      <w:spacing w:before="160" w:line="240" w:lineRule="auto"/>
      <w:ind w:firstLine="567"/>
      <w:jc w:val="both"/>
    </w:pPr>
    <w:rPr>
      <w:rFonts w:ascii="Times New Roman" w:hAnsi="Times New Roman" w:cs="Times New Roman"/>
      <w:kern w:val="0"/>
    </w:rPr>
  </w:style>
  <w:style w:type="paragraph" w:customStyle="1" w:styleId="snoski">
    <w:name w:val="snoski"/>
    <w:basedOn w:val="a"/>
    <w:pPr>
      <w:spacing w:after="0" w:line="240" w:lineRule="auto"/>
      <w:jc w:val="both"/>
    </w:pPr>
    <w:rPr>
      <w:rFonts w:ascii="Times New Roman" w:hAnsi="Times New Roman" w:cs="Times New Roman"/>
      <w:kern w:val="0"/>
      <w:sz w:val="20"/>
      <w:szCs w:val="20"/>
    </w:rPr>
  </w:style>
  <w:style w:type="paragraph" w:customStyle="1" w:styleId="snoskiline">
    <w:name w:val="snoskiline"/>
    <w:basedOn w:val="a"/>
    <w:pPr>
      <w:spacing w:after="0" w:line="240" w:lineRule="auto"/>
      <w:jc w:val="both"/>
    </w:pPr>
    <w:rPr>
      <w:rFonts w:ascii="Times New Roman" w:hAnsi="Times New Roman" w:cs="Times New Roman"/>
      <w:kern w:val="0"/>
      <w:sz w:val="20"/>
      <w:szCs w:val="20"/>
    </w:rPr>
  </w:style>
  <w:style w:type="paragraph" w:customStyle="1" w:styleId="table10">
    <w:name w:val="table10"/>
    <w:basedOn w:val="a"/>
    <w:pPr>
      <w:spacing w:after="0" w:line="240" w:lineRule="auto"/>
    </w:pPr>
    <w:rPr>
      <w:rFonts w:ascii="Times New Roman" w:hAnsi="Times New Roman" w:cs="Times New Roman"/>
      <w:kern w:val="0"/>
      <w:sz w:val="20"/>
      <w:szCs w:val="20"/>
    </w:rPr>
  </w:style>
  <w:style w:type="paragraph" w:customStyle="1" w:styleId="changeadd">
    <w:name w:val="changeadd"/>
    <w:basedOn w:val="a"/>
    <w:pPr>
      <w:spacing w:after="0" w:line="240" w:lineRule="auto"/>
      <w:ind w:left="1134" w:firstLine="567"/>
      <w:jc w:val="both"/>
    </w:pPr>
    <w:rPr>
      <w:rFonts w:ascii="Times New Roman" w:hAnsi="Times New Roman" w:cs="Times New Roman"/>
      <w:kern w:val="0"/>
    </w:rPr>
  </w:style>
  <w:style w:type="paragraph" w:customStyle="1" w:styleId="changei">
    <w:name w:val="changei"/>
    <w:basedOn w:val="a"/>
    <w:pPr>
      <w:spacing w:after="0" w:line="240" w:lineRule="auto"/>
      <w:ind w:left="1021"/>
    </w:pPr>
    <w:rPr>
      <w:rFonts w:ascii="Times New Roman" w:hAnsi="Times New Roman" w:cs="Times New Roman"/>
      <w:kern w:val="0"/>
    </w:rPr>
  </w:style>
  <w:style w:type="paragraph" w:customStyle="1" w:styleId="cap1">
    <w:name w:val="cap1"/>
    <w:basedOn w:val="a"/>
    <w:pPr>
      <w:spacing w:after="0" w:line="240" w:lineRule="auto"/>
    </w:pPr>
    <w:rPr>
      <w:rFonts w:ascii="Times New Roman" w:hAnsi="Times New Roman" w:cs="Times New Roman"/>
      <w:i/>
      <w:iCs/>
      <w:kern w:val="0"/>
      <w:sz w:val="22"/>
      <w:szCs w:val="22"/>
    </w:rPr>
  </w:style>
  <w:style w:type="paragraph" w:customStyle="1" w:styleId="capu1">
    <w:name w:val="capu1"/>
    <w:basedOn w:val="a"/>
    <w:pPr>
      <w:spacing w:after="120" w:line="240" w:lineRule="auto"/>
    </w:pPr>
    <w:rPr>
      <w:rFonts w:ascii="Times New Roman" w:hAnsi="Times New Roman" w:cs="Times New Roman"/>
      <w:i/>
      <w:iCs/>
      <w:kern w:val="0"/>
      <w:sz w:val="22"/>
      <w:szCs w:val="22"/>
    </w:rPr>
  </w:style>
  <w:style w:type="paragraph" w:customStyle="1" w:styleId="newncpi">
    <w:name w:val="newncpi"/>
    <w:basedOn w:val="a"/>
    <w:pPr>
      <w:spacing w:before="160" w:line="240" w:lineRule="auto"/>
      <w:ind w:firstLine="567"/>
      <w:jc w:val="both"/>
    </w:pPr>
    <w:rPr>
      <w:rFonts w:ascii="Times New Roman" w:hAnsi="Times New Roman" w:cs="Times New Roman"/>
      <w:kern w:val="0"/>
    </w:rPr>
  </w:style>
  <w:style w:type="paragraph" w:customStyle="1" w:styleId="newncpi0">
    <w:name w:val="newncpi0"/>
    <w:basedOn w:val="a"/>
    <w:pPr>
      <w:spacing w:before="160" w:line="240" w:lineRule="auto"/>
      <w:jc w:val="both"/>
    </w:pPr>
    <w:rPr>
      <w:rFonts w:ascii="Times New Roman" w:hAnsi="Times New Roman" w:cs="Times New Roman"/>
      <w:kern w:val="0"/>
    </w:rPr>
  </w:style>
  <w:style w:type="paragraph" w:customStyle="1" w:styleId="rekviziti">
    <w:name w:val="rekviziti"/>
    <w:basedOn w:val="a"/>
    <w:pPr>
      <w:spacing w:after="0" w:line="240" w:lineRule="auto"/>
      <w:ind w:left="1134"/>
      <w:jc w:val="both"/>
    </w:pPr>
    <w:rPr>
      <w:rFonts w:ascii="Times New Roman" w:hAnsi="Times New Roman" w:cs="Times New Roman"/>
      <w:kern w:val="0"/>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3999</Words>
  <Characters>22799</Characters>
  <Application>Microsoft Office Word</Application>
  <DocSecurity>0</DocSecurity>
  <Lines>189</Lines>
  <Paragraphs>53</Paragraphs>
  <ScaleCrop>false</ScaleCrop>
  <Company/>
  <LinksUpToDate>false</LinksUpToDate>
  <CharactersWithSpaces>26745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Антонович Елена</dc:creator>
  <cp:lastModifiedBy>Антонович Елена</cp:lastModifiedBy>
  <cp:revision>2</cp:revision>
  <dcterms:created xsi:type="dcterms:W3CDTF">2025-08-01T10:03:00Z</dcterms:created>
  <dcterms:modified xsi:type="dcterms:W3CDTF">2025-08-01T10:03:00Z</dcterms:modified>
</cp:coreProperties>
</file>